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9A2" w14:textId="77777777" w:rsidR="006B1BDF" w:rsidRPr="006B1BDF" w:rsidRDefault="006B1BDF" w:rsidP="006B1BDF">
      <w:pPr>
        <w:spacing w:after="0" w:line="259" w:lineRule="auto"/>
        <w:jc w:val="both"/>
        <w:rPr>
          <w:rFonts w:ascii="Arial" w:eastAsia="Calibri" w:hAnsi="Arial" w:cs="Arial"/>
          <w:b/>
          <w:color w:val="871919"/>
          <w:kern w:val="0"/>
          <w:lang w:val="en-US" w:eastAsia="en-US"/>
          <w14:ligatures w14:val="none"/>
        </w:rPr>
      </w:pPr>
    </w:p>
    <w:p w14:paraId="505C3911" w14:textId="321FC572" w:rsidR="006B1BDF" w:rsidRPr="006B1BDF" w:rsidRDefault="006B1BDF" w:rsidP="006B1BDF">
      <w:pPr>
        <w:spacing w:after="0" w:line="259" w:lineRule="auto"/>
        <w:jc w:val="center"/>
        <w:rPr>
          <w:rFonts w:ascii="Arial" w:eastAsia="Calibri" w:hAnsi="Arial" w:cs="Arial"/>
          <w:b/>
          <w:color w:val="871919"/>
          <w:kern w:val="0"/>
          <w:lang w:val="en-US" w:eastAsia="en-US"/>
          <w14:ligatures w14:val="none"/>
        </w:rPr>
      </w:pPr>
      <w:r w:rsidRPr="006B1BDF">
        <w:rPr>
          <w:rFonts w:ascii="Arial" w:eastAsia="Calibri" w:hAnsi="Arial" w:cs="Arial"/>
          <w:b/>
          <w:color w:val="871919"/>
          <w:kern w:val="0"/>
          <w:lang w:val="en-US" w:eastAsia="en-US"/>
          <w14:ligatures w14:val="none"/>
        </w:rPr>
        <w:t>The Anti-Money Laundering / Counter-Terrorist Financing</w:t>
      </w:r>
    </w:p>
    <w:p w14:paraId="7D062A5F" w14:textId="07E66B47" w:rsidR="006B1BDF" w:rsidRPr="006B1BDF" w:rsidRDefault="006B1BDF" w:rsidP="006B1BDF">
      <w:pPr>
        <w:spacing w:after="0" w:line="259" w:lineRule="auto"/>
        <w:jc w:val="center"/>
        <w:rPr>
          <w:rFonts w:ascii="Arial" w:eastAsia="Calibri" w:hAnsi="Arial" w:cs="Arial"/>
          <w:b/>
          <w:color w:val="871919"/>
          <w:kern w:val="0"/>
          <w:lang w:val="en-US" w:eastAsia="en-US"/>
          <w14:ligatures w14:val="none"/>
        </w:rPr>
      </w:pPr>
      <w:r w:rsidRPr="006B1BDF">
        <w:rPr>
          <w:rFonts w:ascii="Arial" w:eastAsia="Calibri" w:hAnsi="Arial" w:cs="Arial"/>
          <w:b/>
          <w:color w:val="871919"/>
          <w:kern w:val="0"/>
          <w:lang w:val="en-US" w:eastAsia="en-US"/>
          <w14:ligatures w14:val="none"/>
        </w:rPr>
        <w:t>Documents Request List</w:t>
      </w:r>
    </w:p>
    <w:p w14:paraId="2DD33153" w14:textId="2DAE337F" w:rsidR="006B1BDF" w:rsidRPr="006B1BDF" w:rsidRDefault="006B1BDF" w:rsidP="006B1BDF">
      <w:pPr>
        <w:spacing w:after="0" w:line="259" w:lineRule="auto"/>
        <w:jc w:val="center"/>
        <w:rPr>
          <w:rFonts w:ascii="Arial" w:eastAsia="Calibri" w:hAnsi="Arial" w:cs="Arial"/>
          <w:b/>
          <w:color w:val="871919"/>
          <w:kern w:val="0"/>
          <w:lang w:val="en-US" w:eastAsia="en-US"/>
          <w14:ligatures w14:val="none"/>
        </w:rPr>
      </w:pPr>
      <w:r w:rsidRPr="006B1BDF">
        <w:rPr>
          <w:rFonts w:ascii="Arial" w:eastAsia="Calibri" w:hAnsi="Arial" w:cs="Arial"/>
          <w:b/>
          <w:color w:val="871919"/>
          <w:kern w:val="0"/>
          <w:lang w:val="en-US" w:eastAsia="en-US"/>
          <w14:ligatures w14:val="none"/>
        </w:rPr>
        <w:t>(“AML/CTF Documents Request List”)</w:t>
      </w:r>
    </w:p>
    <w:p w14:paraId="2828AC1B" w14:textId="77777777" w:rsidR="006B1BDF" w:rsidRDefault="006B1BDF" w:rsidP="006B1BDF">
      <w:pPr>
        <w:spacing w:after="0" w:line="259" w:lineRule="auto"/>
        <w:jc w:val="both"/>
        <w:rPr>
          <w:rFonts w:ascii="Arial" w:eastAsia="Calibri" w:hAnsi="Arial" w:cs="Arial"/>
          <w:bCs/>
          <w:kern w:val="0"/>
          <w:lang w:val="en-US" w:eastAsia="en-US"/>
          <w14:ligatures w14:val="none"/>
        </w:rPr>
      </w:pPr>
    </w:p>
    <w:p w14:paraId="3FC97CC0" w14:textId="1A180FF3" w:rsidR="006B1BDF" w:rsidRPr="006B1BDF" w:rsidRDefault="006B1BDF" w:rsidP="006B1BDF">
      <w:pPr>
        <w:spacing w:after="0" w:line="259" w:lineRule="auto"/>
        <w:jc w:val="both"/>
        <w:rPr>
          <w:rFonts w:ascii="Arial" w:eastAsia="Calibri" w:hAnsi="Arial" w:cs="Arial"/>
          <w:bCs/>
          <w:kern w:val="0"/>
          <w:lang w:val="en-US" w:eastAsia="en-US"/>
          <w14:ligatures w14:val="none"/>
        </w:rPr>
      </w:pPr>
      <w:r w:rsidRPr="006B1BDF">
        <w:rPr>
          <w:rFonts w:ascii="Arial" w:eastAsia="Calibri" w:hAnsi="Arial" w:cs="Arial"/>
          <w:bCs/>
          <w:kern w:val="0"/>
          <w:lang w:val="en-US" w:eastAsia="en-US"/>
          <w14:ligatures w14:val="none"/>
        </w:rPr>
        <w:t xml:space="preserve">To support the Law Society’s assessment of how your firm embeds the AML/CTF requirements into its operations, we kindly request that you provide any relevant policies, procedures, templates, or other materials that reflect your current practices. </w:t>
      </w:r>
    </w:p>
    <w:p w14:paraId="2FC3A6DF" w14:textId="77777777" w:rsidR="006B1BDF" w:rsidRPr="006B1BDF" w:rsidRDefault="006B1BDF" w:rsidP="006B1BDF">
      <w:pPr>
        <w:spacing w:after="0" w:line="259" w:lineRule="auto"/>
        <w:jc w:val="both"/>
        <w:rPr>
          <w:rFonts w:ascii="Arial" w:eastAsia="Calibri" w:hAnsi="Arial" w:cs="Arial"/>
          <w:bCs/>
          <w:kern w:val="0"/>
          <w:lang w:val="en-US" w:eastAsia="en-US"/>
          <w14:ligatures w14:val="none"/>
        </w:rPr>
      </w:pPr>
    </w:p>
    <w:p w14:paraId="7FE579AC" w14:textId="77777777" w:rsidR="006B1BDF" w:rsidRPr="006B1BDF" w:rsidRDefault="006B1BDF" w:rsidP="006B1BDF">
      <w:pPr>
        <w:spacing w:after="0" w:line="259" w:lineRule="auto"/>
        <w:jc w:val="both"/>
        <w:rPr>
          <w:rFonts w:ascii="Arial" w:eastAsia="Calibri" w:hAnsi="Arial" w:cs="Arial"/>
          <w:bCs/>
          <w:kern w:val="0"/>
          <w:lang w:val="en-US" w:eastAsia="en-US"/>
          <w14:ligatures w14:val="none"/>
        </w:rPr>
      </w:pPr>
      <w:r w:rsidRPr="006B1BDF">
        <w:rPr>
          <w:rFonts w:ascii="Arial" w:eastAsia="Calibri" w:hAnsi="Arial" w:cs="Arial"/>
          <w:bCs/>
          <w:kern w:val="0"/>
          <w:lang w:val="en-US" w:eastAsia="en-US"/>
          <w14:ligatures w14:val="none"/>
        </w:rPr>
        <w:t xml:space="preserve">Please be advised that not </w:t>
      </w:r>
      <w:proofErr w:type="gramStart"/>
      <w:r w:rsidRPr="006B1BDF">
        <w:rPr>
          <w:rFonts w:ascii="Arial" w:eastAsia="Calibri" w:hAnsi="Arial" w:cs="Arial"/>
          <w:bCs/>
          <w:kern w:val="0"/>
          <w:lang w:val="en-US" w:eastAsia="en-US"/>
          <w14:ligatures w14:val="none"/>
        </w:rPr>
        <w:t>all of</w:t>
      </w:r>
      <w:proofErr w:type="gramEnd"/>
      <w:r w:rsidRPr="006B1BDF">
        <w:rPr>
          <w:rFonts w:ascii="Arial" w:eastAsia="Calibri" w:hAnsi="Arial" w:cs="Arial"/>
          <w:bCs/>
          <w:kern w:val="0"/>
          <w:lang w:val="en-US" w:eastAsia="en-US"/>
          <w14:ligatures w14:val="none"/>
        </w:rPr>
        <w:t xml:space="preserve"> the documents listed or referenced below are mandatory. We acknowledge that the nature and scope of documentation may vary depending on each firm’s operational structure. Accordingly, we kindly request that you provide any materials that are currently available and relevant to your firm’s AML/CTF framework.</w:t>
      </w:r>
    </w:p>
    <w:p w14:paraId="2179B253" w14:textId="77777777" w:rsidR="006B1BDF" w:rsidRPr="006B1BDF" w:rsidRDefault="006B1BDF" w:rsidP="006B1BDF">
      <w:pPr>
        <w:spacing w:after="0" w:line="259" w:lineRule="auto"/>
        <w:jc w:val="both"/>
        <w:rPr>
          <w:rFonts w:ascii="Arial" w:eastAsia="Calibri" w:hAnsi="Arial" w:cs="Arial"/>
          <w:bCs/>
          <w:kern w:val="0"/>
          <w:lang w:val="en-US" w:eastAsia="en-US"/>
          <w14:ligatures w14:val="none"/>
        </w:rPr>
      </w:pPr>
    </w:p>
    <w:p w14:paraId="54BAD0ED" w14:textId="77777777" w:rsidR="006B1BDF" w:rsidRPr="006B1BDF" w:rsidRDefault="006B1BDF" w:rsidP="006B1BDF">
      <w:pPr>
        <w:numPr>
          <w:ilvl w:val="0"/>
          <w:numId w:val="6"/>
        </w:numPr>
        <w:spacing w:after="0" w:line="259" w:lineRule="auto"/>
        <w:contextualSpacing/>
        <w:rPr>
          <w:rFonts w:ascii="Arial" w:eastAsia="DengXian" w:hAnsi="Arial" w:cs="Arial"/>
          <w:b/>
          <w:color w:val="871919"/>
          <w:kern w:val="0"/>
          <w:lang w:val="en-US"/>
          <w14:ligatures w14:val="none"/>
        </w:rPr>
      </w:pPr>
      <w:r w:rsidRPr="006B1BDF">
        <w:rPr>
          <w:rFonts w:ascii="Arial" w:eastAsia="DengXian" w:hAnsi="Arial" w:cs="Arial"/>
          <w:b/>
          <w:color w:val="871919"/>
          <w:kern w:val="0"/>
          <w:lang w:val="en-US"/>
          <w14:ligatures w14:val="none"/>
        </w:rPr>
        <w:t>AML/CTF Policy and/or Procedures describing:</w:t>
      </w:r>
    </w:p>
    <w:p w14:paraId="1DEDE579" w14:textId="77777777" w:rsidR="006B1BDF" w:rsidRPr="006B1BDF" w:rsidRDefault="006B1BDF" w:rsidP="006B1BDF">
      <w:pPr>
        <w:numPr>
          <w:ilvl w:val="0"/>
          <w:numId w:val="1"/>
        </w:numPr>
        <w:spacing w:after="0" w:line="240" w:lineRule="auto"/>
        <w:ind w:left="360"/>
        <w:contextualSpacing/>
        <w:rPr>
          <w:rFonts w:ascii="Arial" w:eastAsia="Calibri" w:hAnsi="Arial" w:cs="Arial"/>
          <w:bCs/>
          <w:kern w:val="0"/>
          <w:lang w:val="en-US"/>
          <w14:ligatures w14:val="none"/>
        </w:rPr>
      </w:pPr>
      <w:r w:rsidRPr="006B1BDF">
        <w:rPr>
          <w:rFonts w:ascii="Arial" w:eastAsia="Calibri" w:hAnsi="Arial" w:cs="Arial"/>
          <w:bCs/>
          <w:kern w:val="0"/>
          <w:lang w:val="en-US"/>
          <w14:ligatures w14:val="none"/>
        </w:rPr>
        <w:t>Client Identification and Verification</w:t>
      </w:r>
    </w:p>
    <w:p w14:paraId="4A891079"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Client Due Diligence (“CDD”)</w:t>
      </w:r>
    </w:p>
    <w:p w14:paraId="0749D0AC"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Procedure for Enhanced Due Diligence and Simplified Due Diligence (when and how they are applied)</w:t>
      </w:r>
    </w:p>
    <w:p w14:paraId="35D6FA60"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Client Risk Assessment and, if applicable, the Client Risk Rating Methodology used by the firm to assess money laundering/terrorist financing (“ML/TF”) risks</w:t>
      </w:r>
    </w:p>
    <w:p w14:paraId="13500EF1"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Procedures for Assessing Source of Funds and Source of Wealth</w:t>
      </w:r>
    </w:p>
    <w:p w14:paraId="0159F3C5"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Firm’s policy on client acceptance and exit</w:t>
      </w:r>
    </w:p>
    <w:p w14:paraId="72E9733A"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 xml:space="preserve">Firm’s policy on the use of an intermediary for CDD purposes </w:t>
      </w:r>
    </w:p>
    <w:p w14:paraId="00F66DCA"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 xml:space="preserve">List of client risk factors </w:t>
      </w:r>
      <w:proofErr w:type="gramStart"/>
      <w:r w:rsidRPr="006B1BDF">
        <w:rPr>
          <w:rFonts w:ascii="Arial" w:eastAsia="Calibri" w:hAnsi="Arial" w:cs="Arial"/>
          <w:bCs/>
          <w:kern w:val="0"/>
          <w:lang w:val="en-US"/>
          <w14:ligatures w14:val="none"/>
        </w:rPr>
        <w:t>taken into account</w:t>
      </w:r>
      <w:proofErr w:type="gramEnd"/>
      <w:r w:rsidRPr="006B1BDF">
        <w:rPr>
          <w:rFonts w:ascii="Arial" w:eastAsia="Calibri" w:hAnsi="Arial" w:cs="Arial"/>
          <w:bCs/>
          <w:kern w:val="0"/>
          <w:lang w:val="en-US"/>
          <w14:ligatures w14:val="none"/>
        </w:rPr>
        <w:t xml:space="preserve"> when assessing ML/TF risks</w:t>
      </w:r>
    </w:p>
    <w:p w14:paraId="08DE84D3"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List of red flag indicators or suspicious transaction indicators</w:t>
      </w:r>
    </w:p>
    <w:p w14:paraId="5B9A4D19"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Suspicious Transaction Reporting (“STR”)</w:t>
      </w:r>
    </w:p>
    <w:p w14:paraId="498C9122"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Client Name Screening:</w:t>
      </w:r>
    </w:p>
    <w:p w14:paraId="30A8ADCE" w14:textId="77777777" w:rsidR="006B1BDF" w:rsidRPr="006B1BDF" w:rsidRDefault="006B1BDF" w:rsidP="006B1BDF">
      <w:pPr>
        <w:numPr>
          <w:ilvl w:val="0"/>
          <w:numId w:val="4"/>
        </w:numPr>
        <w:spacing w:after="0" w:line="240" w:lineRule="auto"/>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 xml:space="preserve">Name of the automated screening system (if in place) </w:t>
      </w:r>
    </w:p>
    <w:p w14:paraId="52207341" w14:textId="77777777" w:rsidR="006B1BDF" w:rsidRPr="006B1BDF" w:rsidRDefault="006B1BDF" w:rsidP="006B1BDF">
      <w:pPr>
        <w:numPr>
          <w:ilvl w:val="0"/>
          <w:numId w:val="4"/>
        </w:numPr>
        <w:spacing w:after="0" w:line="240" w:lineRule="auto"/>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Steps for discounting potential matches</w:t>
      </w:r>
    </w:p>
    <w:p w14:paraId="41F26007" w14:textId="77777777" w:rsidR="006B1BDF" w:rsidRPr="006B1BDF" w:rsidRDefault="006B1BDF" w:rsidP="006B1BDF">
      <w:pPr>
        <w:numPr>
          <w:ilvl w:val="0"/>
          <w:numId w:val="4"/>
        </w:numPr>
        <w:spacing w:after="0" w:line="240" w:lineRule="auto"/>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 xml:space="preserve">Steps and follow-up actions in case of a positive match </w:t>
      </w:r>
    </w:p>
    <w:p w14:paraId="0A5AB71A"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Ongoing Monitoring</w:t>
      </w:r>
    </w:p>
    <w:p w14:paraId="552F09A8"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Record Keeping</w:t>
      </w:r>
    </w:p>
    <w:p w14:paraId="08924821"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 xml:space="preserve">Firm’s policy on cash acceptance  </w:t>
      </w:r>
    </w:p>
    <w:p w14:paraId="6EE5C226" w14:textId="77777777" w:rsidR="006B1BDF" w:rsidRPr="006B1BDF" w:rsidRDefault="006B1BDF" w:rsidP="006B1BDF">
      <w:pPr>
        <w:numPr>
          <w:ilvl w:val="0"/>
          <w:numId w:val="1"/>
        </w:numPr>
        <w:spacing w:after="0" w:line="240" w:lineRule="auto"/>
        <w:ind w:left="360"/>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Procedures for Handling Third-Party Payments (Incoming/Outgoing)</w:t>
      </w:r>
    </w:p>
    <w:p w14:paraId="7F56136D" w14:textId="77777777" w:rsidR="006B1BDF" w:rsidRPr="006B1BDF" w:rsidRDefault="006B1BDF" w:rsidP="006B1BDF">
      <w:pPr>
        <w:spacing w:after="0" w:line="120" w:lineRule="auto"/>
        <w:ind w:left="720"/>
        <w:contextualSpacing/>
        <w:jc w:val="both"/>
        <w:rPr>
          <w:rFonts w:ascii="Arial" w:eastAsia="Calibri" w:hAnsi="Arial" w:cs="Arial"/>
          <w:bCs/>
          <w:color w:val="871919"/>
          <w:kern w:val="0"/>
          <w:lang w:val="en-US"/>
          <w14:ligatures w14:val="none"/>
        </w:rPr>
      </w:pPr>
    </w:p>
    <w:p w14:paraId="243444E5" w14:textId="77777777" w:rsidR="006B1BDF" w:rsidRPr="006B1BDF" w:rsidRDefault="006B1BDF" w:rsidP="006B1BDF">
      <w:pPr>
        <w:numPr>
          <w:ilvl w:val="0"/>
          <w:numId w:val="5"/>
        </w:numPr>
        <w:spacing w:after="0" w:line="259" w:lineRule="auto"/>
        <w:contextualSpacing/>
        <w:rPr>
          <w:rFonts w:ascii="Arial" w:eastAsia="DengXian" w:hAnsi="Arial" w:cs="Arial"/>
          <w:b/>
          <w:color w:val="871919"/>
          <w:kern w:val="0"/>
          <w:lang w:val="en-US"/>
          <w14:ligatures w14:val="none"/>
        </w:rPr>
      </w:pPr>
      <w:r w:rsidRPr="006B1BDF">
        <w:rPr>
          <w:rFonts w:ascii="Arial" w:eastAsia="DengXian" w:hAnsi="Arial" w:cs="Arial"/>
          <w:b/>
          <w:color w:val="871919"/>
          <w:kern w:val="0"/>
          <w:lang w:val="en-US"/>
          <w14:ligatures w14:val="none"/>
        </w:rPr>
        <w:t>CDD/Know Your Client (“KYC”) templates (if applicable):</w:t>
      </w:r>
    </w:p>
    <w:p w14:paraId="0443C842" w14:textId="77777777" w:rsidR="006B1BDF" w:rsidRPr="006B1BDF" w:rsidRDefault="006B1BDF" w:rsidP="006B1BDF">
      <w:pPr>
        <w:numPr>
          <w:ilvl w:val="0"/>
          <w:numId w:val="2"/>
        </w:numPr>
        <w:spacing w:after="200" w:line="259" w:lineRule="auto"/>
        <w:contextualSpacing/>
        <w:rPr>
          <w:rFonts w:ascii="Arial" w:eastAsia="Calibri" w:hAnsi="Arial" w:cs="Arial"/>
          <w:bCs/>
          <w:kern w:val="0"/>
          <w14:ligatures w14:val="none"/>
        </w:rPr>
      </w:pPr>
      <w:r w:rsidRPr="006B1BDF">
        <w:rPr>
          <w:rFonts w:ascii="Arial" w:eastAsia="Calibri" w:hAnsi="Arial" w:cs="Arial"/>
          <w:bCs/>
          <w:kern w:val="0"/>
          <w:lang w:val="en-US"/>
          <w14:ligatures w14:val="none"/>
        </w:rPr>
        <w:t xml:space="preserve">CDD/KYC template or checklist </w:t>
      </w:r>
      <w:proofErr w:type="spellStart"/>
      <w:r w:rsidRPr="006B1BDF">
        <w:rPr>
          <w:rFonts w:ascii="Arial" w:eastAsia="Calibri" w:hAnsi="Arial" w:cs="Arial"/>
          <w:bCs/>
          <w:kern w:val="0"/>
          <w:lang w:val="en-US"/>
          <w14:ligatures w14:val="none"/>
        </w:rPr>
        <w:t>utilised</w:t>
      </w:r>
      <w:proofErr w:type="spellEnd"/>
      <w:r w:rsidRPr="006B1BDF">
        <w:rPr>
          <w:rFonts w:ascii="Arial" w:eastAsia="Calibri" w:hAnsi="Arial" w:cs="Arial"/>
          <w:bCs/>
          <w:kern w:val="0"/>
          <w:lang w:val="en-US"/>
          <w14:ligatures w14:val="none"/>
        </w:rPr>
        <w:t xml:space="preserve"> by the firm </w:t>
      </w:r>
    </w:p>
    <w:p w14:paraId="37662EE5" w14:textId="77777777" w:rsidR="006B1BDF" w:rsidRPr="006B1BDF" w:rsidRDefault="006B1BDF" w:rsidP="006B1BDF">
      <w:pPr>
        <w:numPr>
          <w:ilvl w:val="0"/>
          <w:numId w:val="2"/>
        </w:numPr>
        <w:spacing w:after="200" w:line="259" w:lineRule="auto"/>
        <w:contextualSpacing/>
        <w:rPr>
          <w:rFonts w:ascii="Arial" w:eastAsia="Calibri" w:hAnsi="Arial" w:cs="Arial"/>
          <w:bCs/>
          <w:kern w:val="0"/>
          <w14:ligatures w14:val="none"/>
        </w:rPr>
      </w:pPr>
      <w:r w:rsidRPr="006B1BDF">
        <w:rPr>
          <w:rFonts w:ascii="Arial" w:eastAsia="Calibri" w:hAnsi="Arial" w:cs="Arial"/>
          <w:bCs/>
          <w:kern w:val="0"/>
          <w14:ligatures w14:val="none"/>
        </w:rPr>
        <w:t>Client Intake Form (if CDD/KYC templates are not utilised)</w:t>
      </w:r>
    </w:p>
    <w:p w14:paraId="6621D364" w14:textId="77777777" w:rsidR="006B1BDF" w:rsidRPr="006B1BDF" w:rsidRDefault="006B1BDF" w:rsidP="006B1BDF">
      <w:pPr>
        <w:spacing w:line="120" w:lineRule="auto"/>
        <w:ind w:left="357"/>
        <w:contextualSpacing/>
        <w:rPr>
          <w:rFonts w:ascii="Arial" w:eastAsia="Calibri" w:hAnsi="Arial" w:cs="Arial"/>
          <w:bCs/>
          <w:kern w:val="0"/>
          <w14:ligatures w14:val="none"/>
        </w:rPr>
      </w:pPr>
    </w:p>
    <w:p w14:paraId="3AB7991E" w14:textId="77777777" w:rsidR="006B1BDF" w:rsidRPr="006B1BDF" w:rsidRDefault="006B1BDF" w:rsidP="006B1BDF">
      <w:pPr>
        <w:numPr>
          <w:ilvl w:val="0"/>
          <w:numId w:val="5"/>
        </w:numPr>
        <w:spacing w:after="0" w:line="259" w:lineRule="auto"/>
        <w:contextualSpacing/>
        <w:rPr>
          <w:rFonts w:ascii="Arial" w:eastAsia="DengXian" w:hAnsi="Arial" w:cs="Arial"/>
          <w:b/>
          <w:color w:val="871919"/>
          <w:kern w:val="0"/>
          <w:lang w:val="en-US"/>
          <w14:ligatures w14:val="none"/>
        </w:rPr>
      </w:pPr>
      <w:r w:rsidRPr="006B1BDF">
        <w:rPr>
          <w:rFonts w:ascii="Arial" w:eastAsia="DengXian" w:hAnsi="Arial" w:cs="Arial"/>
          <w:b/>
          <w:color w:val="871919"/>
          <w:kern w:val="0"/>
          <w:lang w:val="en-US"/>
          <w14:ligatures w14:val="none"/>
        </w:rPr>
        <w:t xml:space="preserve">Other documents (if applicable): </w:t>
      </w:r>
    </w:p>
    <w:p w14:paraId="3079DC0E" w14:textId="77777777" w:rsidR="006B1BDF" w:rsidRPr="006B1BDF" w:rsidRDefault="006B1BDF" w:rsidP="006B1BDF">
      <w:pPr>
        <w:numPr>
          <w:ilvl w:val="0"/>
          <w:numId w:val="3"/>
        </w:numPr>
        <w:spacing w:after="200" w:line="259" w:lineRule="auto"/>
        <w:contextualSpacing/>
        <w:jc w:val="both"/>
        <w:rPr>
          <w:rFonts w:ascii="Calibri" w:eastAsia="DengXian" w:hAnsi="Calibri" w:cs="Times New Roman"/>
          <w:kern w:val="0"/>
          <w14:ligatures w14:val="none"/>
        </w:rPr>
      </w:pPr>
      <w:r w:rsidRPr="006B1BDF">
        <w:rPr>
          <w:rFonts w:ascii="Arial" w:eastAsia="Calibri" w:hAnsi="Arial" w:cs="Arial"/>
          <w:bCs/>
          <w:kern w:val="0"/>
          <w:lang w:val="en-US"/>
          <w14:ligatures w14:val="none"/>
        </w:rPr>
        <w:t xml:space="preserve">Firm’s own AML/CTF risk assessment </w:t>
      </w:r>
    </w:p>
    <w:p w14:paraId="4DFBDBDA" w14:textId="77777777" w:rsidR="006B1BDF" w:rsidRPr="006B1BDF" w:rsidRDefault="006B1BDF" w:rsidP="006B1BDF">
      <w:pPr>
        <w:numPr>
          <w:ilvl w:val="0"/>
          <w:numId w:val="3"/>
        </w:numPr>
        <w:spacing w:after="200" w:line="259" w:lineRule="auto"/>
        <w:contextualSpacing/>
        <w:rPr>
          <w:rFonts w:ascii="Arial" w:eastAsia="Calibri" w:hAnsi="Arial" w:cs="Arial"/>
          <w:bCs/>
          <w:kern w:val="0"/>
          <w:lang w:val="en-US"/>
          <w14:ligatures w14:val="none"/>
        </w:rPr>
      </w:pPr>
      <w:r w:rsidRPr="006B1BDF">
        <w:rPr>
          <w:rFonts w:ascii="Arial" w:eastAsia="Calibri" w:hAnsi="Arial" w:cs="Arial"/>
          <w:bCs/>
          <w:kern w:val="0"/>
          <w:lang w:val="en-US"/>
          <w14:ligatures w14:val="none"/>
        </w:rPr>
        <w:t>Firm’s Sanctions, Terrorist Financing, and Proliferation Financing policy/procedures</w:t>
      </w:r>
    </w:p>
    <w:p w14:paraId="522E2112" w14:textId="77777777" w:rsidR="006B1BDF" w:rsidRPr="006B1BDF" w:rsidRDefault="006B1BDF" w:rsidP="006B1BDF">
      <w:pPr>
        <w:numPr>
          <w:ilvl w:val="0"/>
          <w:numId w:val="3"/>
        </w:numPr>
        <w:spacing w:after="200" w:line="259" w:lineRule="auto"/>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 xml:space="preserve">Copy of the AML/CFT training and training records conducted in the last 12 months </w:t>
      </w:r>
    </w:p>
    <w:p w14:paraId="4EB79870" w14:textId="77777777" w:rsidR="006B1BDF" w:rsidRPr="006B1BDF" w:rsidRDefault="006B1BDF" w:rsidP="006B1BDF">
      <w:pPr>
        <w:numPr>
          <w:ilvl w:val="0"/>
          <w:numId w:val="3"/>
        </w:numPr>
        <w:spacing w:after="200" w:line="240" w:lineRule="auto"/>
        <w:contextualSpacing/>
        <w:jc w:val="both"/>
        <w:rPr>
          <w:rFonts w:ascii="Arial" w:eastAsia="Calibri" w:hAnsi="Arial" w:cs="Arial"/>
          <w:bCs/>
          <w:kern w:val="0"/>
          <w:lang w:val="en-US"/>
          <w14:ligatures w14:val="none"/>
        </w:rPr>
      </w:pPr>
      <w:r w:rsidRPr="006B1BDF">
        <w:rPr>
          <w:rFonts w:ascii="Arial" w:eastAsia="Calibri" w:hAnsi="Arial" w:cs="Arial"/>
          <w:bCs/>
          <w:kern w:val="0"/>
          <w:lang w:val="en-US"/>
          <w14:ligatures w14:val="none"/>
        </w:rPr>
        <w:t xml:space="preserve">Confirmation of whether the firm has undergone any AML/CTF internal or external examinations/audits in the last 12 months </w:t>
      </w:r>
    </w:p>
    <w:sectPr w:rsidR="006B1BDF" w:rsidRPr="006B1BDF" w:rsidSect="006B1B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C188" w14:textId="77777777" w:rsidR="00F07354" w:rsidRDefault="00F07354" w:rsidP="00333595">
      <w:pPr>
        <w:spacing w:after="0" w:line="240" w:lineRule="auto"/>
      </w:pPr>
      <w:r>
        <w:separator/>
      </w:r>
    </w:p>
  </w:endnote>
  <w:endnote w:type="continuationSeparator" w:id="0">
    <w:p w14:paraId="4B366737" w14:textId="77777777" w:rsidR="00F07354" w:rsidRDefault="00F07354" w:rsidP="0033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9355" w14:textId="77777777" w:rsidR="003C0F4F" w:rsidRDefault="003C0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5E2F" w14:textId="77777777" w:rsidR="003C0F4F" w:rsidRDefault="003C0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A01B" w14:textId="77777777" w:rsidR="003C0F4F" w:rsidRDefault="003C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042D" w14:textId="77777777" w:rsidR="00F07354" w:rsidRDefault="00F07354" w:rsidP="00333595">
      <w:pPr>
        <w:spacing w:after="0" w:line="240" w:lineRule="auto"/>
      </w:pPr>
      <w:r>
        <w:separator/>
      </w:r>
    </w:p>
  </w:footnote>
  <w:footnote w:type="continuationSeparator" w:id="0">
    <w:p w14:paraId="7E20D96A" w14:textId="77777777" w:rsidR="00F07354" w:rsidRDefault="00F07354" w:rsidP="00333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CEEE" w14:textId="77777777" w:rsidR="003C0F4F" w:rsidRDefault="003C0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E5EA" w14:textId="77777777" w:rsidR="00000000" w:rsidRPr="00DB286C" w:rsidRDefault="00000000" w:rsidP="00D74861">
    <w:pPr>
      <w:pStyle w:val="Header"/>
      <w:jc w:val="right"/>
      <w:rPr>
        <w:rFonts w:ascii="Arial" w:hAnsi="Arial" w:cs="Arial"/>
        <w:color w:val="871919"/>
        <w:sz w:val="28"/>
        <w:szCs w:val="28"/>
      </w:rPr>
    </w:pPr>
    <w:r w:rsidRPr="00DB286C">
      <w:rPr>
        <w:rFonts w:ascii="Arial" w:hAnsi="Arial" w:cs="Arial"/>
        <w:color w:val="871919"/>
        <w:sz w:val="28"/>
        <w:szCs w:val="28"/>
      </w:rPr>
      <w:t>Form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9A68" w14:textId="77777777" w:rsidR="003C0F4F" w:rsidRDefault="003C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33BE"/>
    <w:multiLevelType w:val="hybridMultilevel"/>
    <w:tmpl w:val="B178EAEC"/>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1A707B8D"/>
    <w:multiLevelType w:val="hybridMultilevel"/>
    <w:tmpl w:val="723E52B4"/>
    <w:lvl w:ilvl="0" w:tplc="3C09000F">
      <w:start w:val="1"/>
      <w:numFmt w:val="decimal"/>
      <w:lvlText w:val="%1."/>
      <w:lvlJc w:val="left"/>
      <w:pPr>
        <w:ind w:left="-1080" w:hanging="360"/>
      </w:pPr>
      <w:rPr>
        <w:rFonts w:hint="default"/>
      </w:rPr>
    </w:lvl>
    <w:lvl w:ilvl="1" w:tplc="50A4FBA4">
      <w:start w:val="1"/>
      <w:numFmt w:val="lowerLetter"/>
      <w:lvlText w:val="%2)"/>
      <w:lvlJc w:val="left"/>
      <w:pPr>
        <w:ind w:left="-360" w:hanging="360"/>
      </w:pPr>
      <w:rPr>
        <w:rFonts w:hint="default"/>
      </w:r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2" w15:restartNumberingAfterBreak="0">
    <w:nsid w:val="2A6F2F8A"/>
    <w:multiLevelType w:val="hybridMultilevel"/>
    <w:tmpl w:val="A7B8DAAA"/>
    <w:lvl w:ilvl="0" w:tplc="3F6A4814">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1286CAA"/>
    <w:multiLevelType w:val="hybridMultilevel"/>
    <w:tmpl w:val="36663C34"/>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4" w15:restartNumberingAfterBreak="0">
    <w:nsid w:val="518806BE"/>
    <w:multiLevelType w:val="hybridMultilevel"/>
    <w:tmpl w:val="0874CEDC"/>
    <w:lvl w:ilvl="0" w:tplc="50A4FBA4">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AE07D4"/>
    <w:multiLevelType w:val="hybridMultilevel"/>
    <w:tmpl w:val="C0726208"/>
    <w:lvl w:ilvl="0" w:tplc="3C090015">
      <w:start w:val="2"/>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16cid:durableId="742292393">
    <w:abstractNumId w:val="1"/>
  </w:num>
  <w:num w:numId="2" w16cid:durableId="2003923265">
    <w:abstractNumId w:val="3"/>
  </w:num>
  <w:num w:numId="3" w16cid:durableId="2091928124">
    <w:abstractNumId w:val="2"/>
  </w:num>
  <w:num w:numId="4" w16cid:durableId="1461460259">
    <w:abstractNumId w:val="4"/>
  </w:num>
  <w:num w:numId="5" w16cid:durableId="1884902441">
    <w:abstractNumId w:val="5"/>
  </w:num>
  <w:num w:numId="6" w16cid:durableId="49499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DF"/>
    <w:rsid w:val="00124C84"/>
    <w:rsid w:val="00207BD2"/>
    <w:rsid w:val="00333595"/>
    <w:rsid w:val="003C0F4F"/>
    <w:rsid w:val="006B1BDF"/>
    <w:rsid w:val="00B24E4B"/>
    <w:rsid w:val="00BF5341"/>
    <w:rsid w:val="00D07DFA"/>
    <w:rsid w:val="00DB286C"/>
    <w:rsid w:val="00F0735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1C3E2"/>
  <w15:chartTrackingRefBased/>
  <w15:docId w15:val="{A34A47FB-5377-43D4-A450-EA2731D2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BDF"/>
    <w:rPr>
      <w:rFonts w:eastAsiaTheme="majorEastAsia" w:cstheme="majorBidi"/>
      <w:color w:val="272727" w:themeColor="text1" w:themeTint="D8"/>
    </w:rPr>
  </w:style>
  <w:style w:type="paragraph" w:styleId="Title">
    <w:name w:val="Title"/>
    <w:basedOn w:val="Normal"/>
    <w:next w:val="Normal"/>
    <w:link w:val="TitleChar"/>
    <w:uiPriority w:val="10"/>
    <w:qFormat/>
    <w:rsid w:val="006B1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BDF"/>
    <w:pPr>
      <w:spacing w:before="160"/>
      <w:jc w:val="center"/>
    </w:pPr>
    <w:rPr>
      <w:i/>
      <w:iCs/>
      <w:color w:val="404040" w:themeColor="text1" w:themeTint="BF"/>
    </w:rPr>
  </w:style>
  <w:style w:type="character" w:customStyle="1" w:styleId="QuoteChar">
    <w:name w:val="Quote Char"/>
    <w:basedOn w:val="DefaultParagraphFont"/>
    <w:link w:val="Quote"/>
    <w:uiPriority w:val="29"/>
    <w:rsid w:val="006B1BDF"/>
    <w:rPr>
      <w:i/>
      <w:iCs/>
      <w:color w:val="404040" w:themeColor="text1" w:themeTint="BF"/>
    </w:rPr>
  </w:style>
  <w:style w:type="paragraph" w:styleId="ListParagraph">
    <w:name w:val="List Paragraph"/>
    <w:basedOn w:val="Normal"/>
    <w:uiPriority w:val="34"/>
    <w:qFormat/>
    <w:rsid w:val="006B1BDF"/>
    <w:pPr>
      <w:ind w:left="720"/>
      <w:contextualSpacing/>
    </w:pPr>
  </w:style>
  <w:style w:type="character" w:styleId="IntenseEmphasis">
    <w:name w:val="Intense Emphasis"/>
    <w:basedOn w:val="DefaultParagraphFont"/>
    <w:uiPriority w:val="21"/>
    <w:qFormat/>
    <w:rsid w:val="006B1BDF"/>
    <w:rPr>
      <w:i/>
      <w:iCs/>
      <w:color w:val="0F4761" w:themeColor="accent1" w:themeShade="BF"/>
    </w:rPr>
  </w:style>
  <w:style w:type="paragraph" w:styleId="IntenseQuote">
    <w:name w:val="Intense Quote"/>
    <w:basedOn w:val="Normal"/>
    <w:next w:val="Normal"/>
    <w:link w:val="IntenseQuoteChar"/>
    <w:uiPriority w:val="30"/>
    <w:qFormat/>
    <w:rsid w:val="006B1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BDF"/>
    <w:rPr>
      <w:i/>
      <w:iCs/>
      <w:color w:val="0F4761" w:themeColor="accent1" w:themeShade="BF"/>
    </w:rPr>
  </w:style>
  <w:style w:type="character" w:styleId="IntenseReference">
    <w:name w:val="Intense Reference"/>
    <w:basedOn w:val="DefaultParagraphFont"/>
    <w:uiPriority w:val="32"/>
    <w:qFormat/>
    <w:rsid w:val="006B1BDF"/>
    <w:rPr>
      <w:b/>
      <w:bCs/>
      <w:smallCaps/>
      <w:color w:val="0F4761" w:themeColor="accent1" w:themeShade="BF"/>
      <w:spacing w:val="5"/>
    </w:rPr>
  </w:style>
  <w:style w:type="paragraph" w:styleId="Header">
    <w:name w:val="header"/>
    <w:basedOn w:val="Normal"/>
    <w:link w:val="HeaderChar"/>
    <w:uiPriority w:val="99"/>
    <w:unhideWhenUsed/>
    <w:rsid w:val="006B1BDF"/>
    <w:pPr>
      <w:tabs>
        <w:tab w:val="center" w:pos="4513"/>
        <w:tab w:val="right" w:pos="9026"/>
      </w:tabs>
      <w:spacing w:after="0" w:line="240" w:lineRule="auto"/>
    </w:pPr>
    <w:rPr>
      <w:kern w:val="0"/>
      <w:sz w:val="22"/>
      <w:szCs w:val="20"/>
      <w14:ligatures w14:val="none"/>
    </w:rPr>
  </w:style>
  <w:style w:type="character" w:customStyle="1" w:styleId="HeaderChar">
    <w:name w:val="Header Char"/>
    <w:basedOn w:val="DefaultParagraphFont"/>
    <w:link w:val="Header"/>
    <w:uiPriority w:val="99"/>
    <w:rsid w:val="006B1BDF"/>
    <w:rPr>
      <w:kern w:val="0"/>
      <w:sz w:val="22"/>
      <w:szCs w:val="20"/>
      <w14:ligatures w14:val="none"/>
    </w:rPr>
  </w:style>
  <w:style w:type="paragraph" w:styleId="Footer">
    <w:name w:val="footer"/>
    <w:basedOn w:val="Normal"/>
    <w:link w:val="FooterChar"/>
    <w:uiPriority w:val="99"/>
    <w:unhideWhenUsed/>
    <w:rsid w:val="00333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1988</Characters>
  <Application>Microsoft Office Word</Application>
  <DocSecurity>0</DocSecurity>
  <Lines>46</Lines>
  <Paragraphs>32</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KOSC</dc:creator>
  <cp:keywords/>
  <dc:description/>
  <cp:lastModifiedBy>Patrycja KOSC</cp:lastModifiedBy>
  <cp:revision>4</cp:revision>
  <dcterms:created xsi:type="dcterms:W3CDTF">2025-07-01T09:13:00Z</dcterms:created>
  <dcterms:modified xsi:type="dcterms:W3CDTF">2025-07-01T09:15:00Z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4155a282-dd5f-4aca-b3cf-287c36389e5d</vt:lpwstr>
  </property>
</Properties>
</file>