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2739" w14:textId="187419EA" w:rsidR="006E7D8A" w:rsidRPr="006E7D8A" w:rsidRDefault="006E7D8A" w:rsidP="006E7D8A">
      <w:pPr>
        <w:tabs>
          <w:tab w:val="left" w:pos="2160"/>
        </w:tabs>
        <w:jc w:val="center"/>
        <w:textAlignment w:val="baseline"/>
        <w:rPr>
          <w:rFonts w:ascii="Garamond" w:eastAsia="Garamond" w:hAnsi="Garamond"/>
          <w:b/>
          <w:color w:val="000000"/>
          <w:sz w:val="24"/>
          <w:szCs w:val="24"/>
        </w:rPr>
      </w:pPr>
      <w:r w:rsidRPr="006E7D8A">
        <w:rPr>
          <w:rFonts w:ascii="Garamond" w:eastAsia="Garamond" w:hAnsi="Garamond"/>
          <w:b/>
          <w:color w:val="000000"/>
          <w:sz w:val="24"/>
          <w:szCs w:val="24"/>
        </w:rPr>
        <w:t>STANDING COMMITTEE ON STANDARDS AND DEVELOPMENT</w:t>
      </w:r>
    </w:p>
    <w:p w14:paraId="3E446CA6" w14:textId="77777777" w:rsidR="006E7D8A" w:rsidRDefault="006E7D8A" w:rsidP="006E7D8A">
      <w:pPr>
        <w:tabs>
          <w:tab w:val="left" w:pos="2160"/>
        </w:tabs>
        <w:textAlignment w:val="baseline"/>
        <w:rPr>
          <w:rFonts w:ascii="Garamond" w:eastAsia="Garamond" w:hAnsi="Garamond"/>
          <w:b/>
          <w:color w:val="000000"/>
          <w:sz w:val="24"/>
          <w:szCs w:val="24"/>
        </w:rPr>
      </w:pPr>
    </w:p>
    <w:p w14:paraId="5AC2FA1D" w14:textId="77777777" w:rsidR="006E7D8A" w:rsidRPr="006E7D8A" w:rsidRDefault="006E7D8A" w:rsidP="006E7D8A">
      <w:pPr>
        <w:tabs>
          <w:tab w:val="left" w:pos="2160"/>
        </w:tabs>
        <w:textAlignment w:val="baseline"/>
        <w:rPr>
          <w:rFonts w:ascii="Garamond" w:eastAsia="Garamond" w:hAnsi="Garamond"/>
          <w:b/>
          <w:color w:val="000000"/>
          <w:sz w:val="24"/>
          <w:szCs w:val="24"/>
        </w:rPr>
      </w:pPr>
    </w:p>
    <w:p w14:paraId="0FBE5CA5" w14:textId="39459A7C" w:rsidR="005F5427" w:rsidRDefault="001F3DF2" w:rsidP="006E7D8A">
      <w:pPr>
        <w:tabs>
          <w:tab w:val="left" w:pos="2160"/>
        </w:tabs>
        <w:jc w:val="both"/>
        <w:textAlignment w:val="baseline"/>
        <w:rPr>
          <w:rFonts w:ascii="Garamond" w:eastAsia="Garamond" w:hAnsi="Garamond"/>
          <w:b/>
          <w:color w:val="000000"/>
          <w:sz w:val="24"/>
          <w:szCs w:val="24"/>
        </w:rPr>
      </w:pPr>
      <w:r w:rsidRPr="006E7D8A">
        <w:rPr>
          <w:rFonts w:ascii="Garamond" w:eastAsia="Garamond" w:hAnsi="Garamond"/>
          <w:b/>
          <w:color w:val="000000"/>
          <w:sz w:val="24"/>
          <w:szCs w:val="24"/>
        </w:rPr>
        <w:t>TERMS OF REFERENCE</w:t>
      </w:r>
    </w:p>
    <w:p w14:paraId="53D8E646" w14:textId="77777777" w:rsidR="006E7D8A" w:rsidRPr="006E7D8A" w:rsidRDefault="006E7D8A" w:rsidP="006E7D8A">
      <w:pPr>
        <w:tabs>
          <w:tab w:val="left" w:pos="2160"/>
        </w:tabs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</w:p>
    <w:p w14:paraId="0FBE5CA6" w14:textId="77777777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To establish standards and rules for the regulation of professional practice, conduct and practice management and in doing so:</w:t>
      </w:r>
    </w:p>
    <w:p w14:paraId="214F3F0E" w14:textId="77777777" w:rsidR="006E7D8A" w:rsidRPr="006E7D8A" w:rsidRDefault="006E7D8A" w:rsidP="006E7D8A">
      <w:pPr>
        <w:tabs>
          <w:tab w:val="left" w:pos="1584"/>
        </w:tabs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</w:p>
    <w:p w14:paraId="0FBE5CA7" w14:textId="29987003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z w:val="24"/>
          <w:szCs w:val="24"/>
        </w:rPr>
        <w:tab/>
        <w:t xml:space="preserve">keep under review the provisions of the </w:t>
      </w:r>
      <w:r w:rsidR="006E7D8A" w:rsidRPr="006E7D8A">
        <w:rPr>
          <w:rFonts w:ascii="Garamond" w:eastAsia="Garamond" w:hAnsi="Garamond"/>
          <w:color w:val="000000"/>
          <w:sz w:val="24"/>
          <w:szCs w:val="24"/>
        </w:rPr>
        <w:t>Legal Practitioners Ordinance (“</w:t>
      </w:r>
      <w:r w:rsidRPr="006E7D8A">
        <w:rPr>
          <w:rFonts w:ascii="Garamond" w:eastAsia="Garamond" w:hAnsi="Garamond"/>
          <w:b/>
          <w:bCs/>
          <w:color w:val="000000"/>
          <w:sz w:val="24"/>
          <w:szCs w:val="24"/>
        </w:rPr>
        <w:t>LPO</w:t>
      </w:r>
      <w:r w:rsidR="006E7D8A" w:rsidRPr="006E7D8A">
        <w:rPr>
          <w:rFonts w:ascii="Garamond" w:eastAsia="Garamond" w:hAnsi="Garamond"/>
          <w:color w:val="000000"/>
          <w:sz w:val="24"/>
          <w:szCs w:val="24"/>
        </w:rPr>
        <w:t>”)</w:t>
      </w:r>
      <w:r w:rsidRPr="006E7D8A">
        <w:rPr>
          <w:rFonts w:ascii="Garamond" w:eastAsia="Garamond" w:hAnsi="Garamond"/>
          <w:color w:val="000000"/>
          <w:sz w:val="24"/>
          <w:szCs w:val="24"/>
        </w:rPr>
        <w:t xml:space="preserve"> as they affect the legal profession and make recommendations for change to Council;</w:t>
      </w:r>
    </w:p>
    <w:p w14:paraId="0FBE5CA8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z w:val="24"/>
          <w:szCs w:val="24"/>
        </w:rPr>
        <w:tab/>
        <w:t>keep under review rules made under the LPO and make recommendations for change to Council;</w:t>
      </w:r>
    </w:p>
    <w:p w14:paraId="0FBE5CA9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z w:val="24"/>
          <w:szCs w:val="24"/>
        </w:rPr>
        <w:tab/>
        <w:t>assess the need for and approve new or revised practice directions (only major issues need be referred to the Council);</w:t>
      </w:r>
    </w:p>
    <w:p w14:paraId="0FBE5CAA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z w:val="24"/>
          <w:szCs w:val="24"/>
        </w:rPr>
        <w:tab/>
        <w:t>assess the need for and approve new or revised practice circular (no reference to the Council required);</w:t>
      </w:r>
    </w:p>
    <w:p w14:paraId="0FBE5CAB" w14:textId="044C4E48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z w:val="24"/>
          <w:szCs w:val="24"/>
        </w:rPr>
        <w:tab/>
        <w:t xml:space="preserve">specifically, assess the need for </w:t>
      </w:r>
      <w:r w:rsidR="006E7D8A">
        <w:rPr>
          <w:rFonts w:ascii="Garamond" w:eastAsia="Garamond" w:hAnsi="Garamond"/>
          <w:color w:val="000000"/>
          <w:sz w:val="24"/>
          <w:szCs w:val="24"/>
        </w:rPr>
        <w:t>Practice Direct</w:t>
      </w:r>
      <w:r w:rsidR="001A2FDA">
        <w:rPr>
          <w:rFonts w:ascii="Garamond" w:eastAsia="Garamond" w:hAnsi="Garamond"/>
          <w:color w:val="000000"/>
          <w:sz w:val="24"/>
          <w:szCs w:val="24"/>
        </w:rPr>
        <w:t>ion</w:t>
      </w:r>
      <w:r w:rsidR="006E7D8A">
        <w:rPr>
          <w:rFonts w:ascii="Garamond" w:eastAsia="Garamond" w:hAnsi="Garamond"/>
          <w:color w:val="000000"/>
          <w:sz w:val="24"/>
          <w:szCs w:val="24"/>
        </w:rPr>
        <w:t>s’</w:t>
      </w:r>
      <w:r w:rsidRPr="006E7D8A">
        <w:rPr>
          <w:rFonts w:ascii="Garamond" w:eastAsia="Garamond" w:hAnsi="Garamond"/>
          <w:color w:val="000000"/>
          <w:sz w:val="24"/>
          <w:szCs w:val="24"/>
        </w:rPr>
        <w:t xml:space="preserve"> or circular on aspects of professional practice and conduct; and,</w:t>
      </w:r>
    </w:p>
    <w:p w14:paraId="0FBE5CAC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3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ab/>
        <w:t>keep under review codes of conduct.</w:t>
      </w:r>
    </w:p>
    <w:p w14:paraId="37AD74B5" w14:textId="77777777" w:rsidR="006E7D8A" w:rsidRPr="006E7D8A" w:rsidRDefault="006E7D8A" w:rsidP="006E7D8A">
      <w:pPr>
        <w:tabs>
          <w:tab w:val="left" w:pos="1584"/>
        </w:tabs>
        <w:jc w:val="both"/>
        <w:textAlignment w:val="baseline"/>
        <w:rPr>
          <w:rFonts w:ascii="Garamond" w:eastAsia="Garamond" w:hAnsi="Garamond"/>
          <w:color w:val="000000"/>
          <w:spacing w:val="-3"/>
          <w:sz w:val="24"/>
          <w:szCs w:val="24"/>
        </w:rPr>
      </w:pPr>
    </w:p>
    <w:p w14:paraId="0FBE5CAD" w14:textId="77777777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pacing w:val="-4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4"/>
          <w:sz w:val="24"/>
          <w:szCs w:val="24"/>
        </w:rPr>
        <w:t>To prepare, keep under review and issue a Solicitors Guide covering all of the above.</w:t>
      </w:r>
    </w:p>
    <w:p w14:paraId="35DB4B47" w14:textId="77777777" w:rsidR="006E7D8A" w:rsidRPr="006E7D8A" w:rsidRDefault="006E7D8A" w:rsidP="006E7D8A">
      <w:pPr>
        <w:tabs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pacing w:val="-4"/>
          <w:sz w:val="24"/>
          <w:szCs w:val="24"/>
        </w:rPr>
      </w:pPr>
    </w:p>
    <w:p w14:paraId="0FBE5CAE" w14:textId="77777777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pacing w:val="-4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4"/>
          <w:sz w:val="24"/>
          <w:szCs w:val="24"/>
        </w:rPr>
        <w:t>To set education and training standards for the profession covering:</w:t>
      </w:r>
    </w:p>
    <w:p w14:paraId="50151B7B" w14:textId="77777777" w:rsidR="006E7D8A" w:rsidRPr="006E7D8A" w:rsidRDefault="006E7D8A" w:rsidP="006E7D8A">
      <w:pPr>
        <w:tabs>
          <w:tab w:val="left" w:pos="158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pacing w:val="-3"/>
          <w:sz w:val="24"/>
          <w:szCs w:val="24"/>
        </w:rPr>
      </w:pPr>
    </w:p>
    <w:p w14:paraId="0FBE5CAF" w14:textId="7832CDFB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3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ab/>
        <w:t>pre-qualification requirements (i.e. entry to studies for the solicitors qualification)</w:t>
      </w:r>
    </w:p>
    <w:p w14:paraId="0FBE5CB0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2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2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pacing w:val="-2"/>
          <w:sz w:val="24"/>
          <w:szCs w:val="24"/>
        </w:rPr>
        <w:tab/>
        <w:t>qualification as solicitors</w:t>
      </w:r>
    </w:p>
    <w:p w14:paraId="0FBE5CB1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3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pacing w:val="-3"/>
          <w:sz w:val="24"/>
          <w:szCs w:val="24"/>
        </w:rPr>
        <w:tab/>
        <w:t>post qualification education, training and experience</w:t>
      </w:r>
    </w:p>
    <w:p w14:paraId="0FBE5CB2" w14:textId="77777777" w:rsidR="005F5427" w:rsidRPr="006E7D8A" w:rsidRDefault="001F3DF2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2"/>
          <w:sz w:val="24"/>
          <w:szCs w:val="24"/>
        </w:rPr>
      </w:pPr>
      <w:r w:rsidRPr="006E7D8A">
        <w:rPr>
          <w:rFonts w:ascii="Garamond" w:eastAsia="Garamond" w:hAnsi="Garamond"/>
          <w:color w:val="000000"/>
          <w:spacing w:val="-2"/>
          <w:sz w:val="24"/>
          <w:szCs w:val="24"/>
        </w:rPr>
        <w:t>-</w:t>
      </w:r>
      <w:r w:rsidRPr="006E7D8A">
        <w:rPr>
          <w:rFonts w:ascii="Garamond" w:eastAsia="Garamond" w:hAnsi="Garamond"/>
          <w:color w:val="000000"/>
          <w:spacing w:val="-2"/>
          <w:sz w:val="24"/>
          <w:szCs w:val="24"/>
        </w:rPr>
        <w:tab/>
        <w:t>employees of solicitors</w:t>
      </w:r>
    </w:p>
    <w:p w14:paraId="101F4EB0" w14:textId="77777777" w:rsidR="006E7D8A" w:rsidRPr="006E7D8A" w:rsidRDefault="006E7D8A" w:rsidP="006E7D8A">
      <w:pPr>
        <w:tabs>
          <w:tab w:val="left" w:pos="1584"/>
        </w:tabs>
        <w:ind w:left="1134" w:hanging="567"/>
        <w:jc w:val="both"/>
        <w:textAlignment w:val="baseline"/>
        <w:rPr>
          <w:rFonts w:ascii="Garamond" w:eastAsia="Garamond" w:hAnsi="Garamond"/>
          <w:color w:val="000000"/>
          <w:spacing w:val="-2"/>
          <w:sz w:val="24"/>
          <w:szCs w:val="24"/>
        </w:rPr>
      </w:pPr>
    </w:p>
    <w:p w14:paraId="0FBE5CB3" w14:textId="3B00BE8E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To formulate L</w:t>
      </w:r>
      <w:r w:rsidR="006E7D8A">
        <w:rPr>
          <w:rFonts w:ascii="Garamond" w:eastAsia="Garamond" w:hAnsi="Garamond"/>
          <w:color w:val="000000"/>
          <w:sz w:val="24"/>
          <w:szCs w:val="24"/>
        </w:rPr>
        <w:t xml:space="preserve">aw </w:t>
      </w:r>
      <w:r w:rsidRPr="006E7D8A">
        <w:rPr>
          <w:rFonts w:ascii="Garamond" w:eastAsia="Garamond" w:hAnsi="Garamond"/>
          <w:color w:val="000000"/>
          <w:sz w:val="24"/>
          <w:szCs w:val="24"/>
        </w:rPr>
        <w:t>S</w:t>
      </w:r>
      <w:r w:rsidR="006E7D8A">
        <w:rPr>
          <w:rFonts w:ascii="Garamond" w:eastAsia="Garamond" w:hAnsi="Garamond"/>
          <w:color w:val="000000"/>
          <w:sz w:val="24"/>
          <w:szCs w:val="24"/>
        </w:rPr>
        <w:t>ociety’s</w:t>
      </w:r>
      <w:r w:rsidRPr="006E7D8A">
        <w:rPr>
          <w:rFonts w:ascii="Garamond" w:eastAsia="Garamond" w:hAnsi="Garamond"/>
          <w:color w:val="000000"/>
          <w:sz w:val="24"/>
          <w:szCs w:val="24"/>
        </w:rPr>
        <w:t xml:space="preserve"> policy on handling requests from issues of ethics or conduct; and</w:t>
      </w:r>
      <w:r w:rsidR="006E7D8A" w:rsidRPr="006E7D8A">
        <w:rPr>
          <w:rFonts w:ascii="Garamond" w:eastAsia="Garamond" w:hAnsi="Garamond"/>
          <w:color w:val="000000"/>
          <w:sz w:val="24"/>
          <w:szCs w:val="24"/>
        </w:rPr>
        <w:t xml:space="preserve"> </w:t>
      </w:r>
      <w:r w:rsidRPr="006E7D8A">
        <w:rPr>
          <w:rFonts w:ascii="Garamond" w:eastAsia="Garamond" w:hAnsi="Garamond"/>
          <w:color w:val="000000"/>
          <w:sz w:val="24"/>
          <w:szCs w:val="24"/>
        </w:rPr>
        <w:t>to respond to such requests where appropriate.</w:t>
      </w:r>
    </w:p>
    <w:p w14:paraId="3C5658AA" w14:textId="77777777" w:rsidR="006E7D8A" w:rsidRPr="006E7D8A" w:rsidRDefault="006E7D8A" w:rsidP="006E7D8A">
      <w:pPr>
        <w:tabs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</w:p>
    <w:p w14:paraId="0FBE5CB4" w14:textId="706D71B7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To recommend policy and arrangements for pricing any L</w:t>
      </w:r>
      <w:r w:rsidR="006E7D8A">
        <w:rPr>
          <w:rFonts w:ascii="Garamond" w:eastAsia="Garamond" w:hAnsi="Garamond"/>
          <w:color w:val="000000"/>
          <w:sz w:val="24"/>
          <w:szCs w:val="24"/>
        </w:rPr>
        <w:t>aw Society’s</w:t>
      </w:r>
      <w:r w:rsidRPr="006E7D8A">
        <w:rPr>
          <w:rFonts w:ascii="Garamond" w:eastAsia="Garamond" w:hAnsi="Garamond"/>
          <w:color w:val="000000"/>
          <w:sz w:val="24"/>
          <w:szCs w:val="24"/>
        </w:rPr>
        <w:t xml:space="preserve"> publications or services arising out of the above.</w:t>
      </w:r>
    </w:p>
    <w:p w14:paraId="1F1161B7" w14:textId="77777777" w:rsidR="006E7D8A" w:rsidRPr="006E7D8A" w:rsidRDefault="006E7D8A" w:rsidP="006E7D8A">
      <w:pPr>
        <w:pStyle w:val="ListParagraph"/>
        <w:ind w:left="567" w:hanging="567"/>
        <w:jc w:val="both"/>
        <w:rPr>
          <w:rFonts w:ascii="Garamond" w:eastAsia="Garamond" w:hAnsi="Garamond"/>
          <w:color w:val="000000"/>
          <w:sz w:val="24"/>
          <w:szCs w:val="24"/>
        </w:rPr>
      </w:pPr>
    </w:p>
    <w:p w14:paraId="0FBE5CB5" w14:textId="77777777" w:rsidR="005F5427" w:rsidRPr="006E7D8A" w:rsidRDefault="001F3DF2" w:rsidP="006E7D8A">
      <w:pPr>
        <w:numPr>
          <w:ilvl w:val="0"/>
          <w:numId w:val="1"/>
        </w:numPr>
        <w:tabs>
          <w:tab w:val="clear" w:pos="720"/>
          <w:tab w:val="left" w:pos="864"/>
        </w:tabs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  <w:r w:rsidRPr="006E7D8A">
        <w:rPr>
          <w:rFonts w:ascii="Garamond" w:eastAsia="Garamond" w:hAnsi="Garamond"/>
          <w:color w:val="000000"/>
          <w:sz w:val="24"/>
          <w:szCs w:val="24"/>
        </w:rPr>
        <w:t>To determine applications for review made pursuant to Rule 9 of the Overseas Lawyers (Qualification for Admission) Rules.</w:t>
      </w:r>
    </w:p>
    <w:p w14:paraId="0FBE5CB6" w14:textId="357E380B" w:rsidR="005F5427" w:rsidRPr="006E7D8A" w:rsidRDefault="005F5427" w:rsidP="006E7D8A">
      <w:pPr>
        <w:ind w:left="567" w:hanging="567"/>
        <w:jc w:val="both"/>
        <w:textAlignment w:val="baseline"/>
        <w:rPr>
          <w:rFonts w:ascii="Garamond" w:eastAsia="Garamond" w:hAnsi="Garamond"/>
          <w:color w:val="000000"/>
          <w:sz w:val="24"/>
          <w:szCs w:val="24"/>
        </w:rPr>
      </w:pPr>
    </w:p>
    <w:sectPr w:rsidR="005F5427" w:rsidRPr="006E7D8A" w:rsidSect="006E7D8A">
      <w:pgSz w:w="11904" w:h="16843"/>
      <w:pgMar w:top="1701" w:right="1418" w:bottom="1701" w:left="11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0473" w14:textId="77777777" w:rsidR="009D69BA" w:rsidRDefault="009D69BA">
      <w:r>
        <w:separator/>
      </w:r>
    </w:p>
  </w:endnote>
  <w:endnote w:type="continuationSeparator" w:id="0">
    <w:p w14:paraId="57AA58EE" w14:textId="77777777" w:rsidR="009D69BA" w:rsidRDefault="009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Garamond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8038" w14:textId="77777777" w:rsidR="009D69BA" w:rsidRDefault="009D69BA"/>
  </w:footnote>
  <w:footnote w:type="continuationSeparator" w:id="0">
    <w:p w14:paraId="1B58BC69" w14:textId="77777777" w:rsidR="009D69BA" w:rsidRDefault="009D6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5B2B"/>
    <w:multiLevelType w:val="multilevel"/>
    <w:tmpl w:val="9362A696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rFonts w:ascii="Garamond" w:eastAsia="Garamond" w:hAnsi="Garamond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122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27"/>
    <w:rsid w:val="001A2FDA"/>
    <w:rsid w:val="001F3DF2"/>
    <w:rsid w:val="005640E9"/>
    <w:rsid w:val="005F5427"/>
    <w:rsid w:val="006E7D8A"/>
    <w:rsid w:val="00796C80"/>
    <w:rsid w:val="009163CB"/>
    <w:rsid w:val="00934457"/>
    <w:rsid w:val="009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E5C9C"/>
  <w15:docId w15:val="{126CFA46-ACA7-4AD8-B757-A9E92045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D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D8A"/>
  </w:style>
  <w:style w:type="paragraph" w:styleId="Footer">
    <w:name w:val="footer"/>
    <w:basedOn w:val="Normal"/>
    <w:link w:val="FooterChar"/>
    <w:uiPriority w:val="99"/>
    <w:unhideWhenUsed/>
    <w:rsid w:val="006E7D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D8A"/>
  </w:style>
  <w:style w:type="paragraph" w:styleId="ListParagraph">
    <w:name w:val="List Paragraph"/>
    <w:basedOn w:val="Normal"/>
    <w:uiPriority w:val="34"/>
    <w:qFormat/>
    <w:rsid w:val="006E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9C035BBE46541A8D27D0A7B32CE7E" ma:contentTypeVersion="19" ma:contentTypeDescription="Create a new document." ma:contentTypeScope="" ma:versionID="26b550ba70abce455d2bd270f6fdd9b8">
  <xsd:schema xmlns:xsd="http://www.w3.org/2001/XMLSchema" xmlns:xs="http://www.w3.org/2001/XMLSchema" xmlns:p="http://schemas.microsoft.com/office/2006/metadata/properties" xmlns:ns2="c1c74309-156b-4660-9951-d9616e353fe4" xmlns:ns3="96217c5a-0226-462f-8526-5fe9ca4111af" targetNamespace="http://schemas.microsoft.com/office/2006/metadata/properties" ma:root="true" ma:fieldsID="e10395ff7e66be021d573a3b76fcb688" ns2:_="" ns3:_="">
    <xsd:import namespace="c1c74309-156b-4660-9951-d9616e353fe4"/>
    <xsd:import namespace="96217c5a-0226-462f-8526-5fe9ca411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74309-156b-4660-9951-d9616e35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8fae47-ee56-4d0f-a808-a0663f98e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7c5a-0226-462f-8526-5fe9ca411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4f28f3-56e9-4c78-a70d-607afab5a342}" ma:internalName="TaxCatchAll" ma:showField="CatchAllData" ma:web="96217c5a-0226-462f-8526-5fe9ca411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c74309-156b-4660-9951-d9616e353fe4">
      <Terms xmlns="http://schemas.microsoft.com/office/infopath/2007/PartnerControls"/>
    </lcf76f155ced4ddcb4097134ff3c332f>
    <TaxCatchAll xmlns="96217c5a-0226-462f-8526-5fe9ca4111af" xsi:nil="true"/>
  </documentManagement>
</p:properties>
</file>

<file path=customXml/itemProps1.xml><?xml version="1.0" encoding="utf-8"?>
<ds:datastoreItem xmlns:ds="http://schemas.openxmlformats.org/officeDocument/2006/customXml" ds:itemID="{539583F5-BA72-4917-AEB2-FDC153A2AA99}"/>
</file>

<file path=customXml/itemProps2.xml><?xml version="1.0" encoding="utf-8"?>
<ds:datastoreItem xmlns:ds="http://schemas.openxmlformats.org/officeDocument/2006/customXml" ds:itemID="{AB9FA4AE-080E-48D5-A80D-7BC793C7D5DB}"/>
</file>

<file path=customXml/itemProps3.xml><?xml version="1.0" encoding="utf-8"?>
<ds:datastoreItem xmlns:ds="http://schemas.openxmlformats.org/officeDocument/2006/customXml" ds:itemID="{DC776CB8-B094-4EF1-BC1F-46752E0A5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AHR003 Committee list detail report format (55).xlsx</dc:title>
  <dc:creator>CATHY</dc:creator>
  <cp:lastModifiedBy>Agnes CHENG</cp:lastModifiedBy>
  <cp:revision>3</cp:revision>
  <cp:lastPrinted>2026-08-07T07:15:00Z</cp:lastPrinted>
  <dcterms:created xsi:type="dcterms:W3CDTF">2026-08-07T07:17:00Z</dcterms:created>
  <dcterms:modified xsi:type="dcterms:W3CDTF">2026-08-07T09:51:00Z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0x0101002EC9C035BBE46541A8D27D0A7B32CE7E</vt:lpwstr>
  </property>
</Properties>
</file>