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5a9a20357a0628c479521c862dc40371">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bf4a86a72a89b3b427e371950521bde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B7AF5B6B-77F4-42B6-97A4-14FFCA08626D}"/>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