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199B" w14:textId="77777777" w:rsidR="00143C94" w:rsidRDefault="00143C94" w:rsidP="00087B27">
      <w:pPr>
        <w:widowControl/>
        <w:spacing w:after="160" w:line="259" w:lineRule="auto"/>
        <w:jc w:val="right"/>
        <w:rPr>
          <w:rFonts w:ascii="Garamond" w:hAnsi="Garamond"/>
          <w:b/>
          <w:szCs w:val="24"/>
        </w:rPr>
      </w:pPr>
      <w:r w:rsidRPr="00B54587">
        <w:rPr>
          <w:rFonts w:ascii="Garamond" w:hAnsi="Garamond"/>
          <w:b/>
          <w:szCs w:val="24"/>
        </w:rPr>
        <w:t>Annexure</w:t>
      </w:r>
      <w:r>
        <w:rPr>
          <w:rFonts w:ascii="Garamond" w:hAnsi="Garamond"/>
          <w:b/>
          <w:szCs w:val="24"/>
        </w:rPr>
        <w:t xml:space="preserve"> 1</w:t>
      </w:r>
    </w:p>
    <w:p w14:paraId="668F0DB9" w14:textId="77777777" w:rsidR="00143C94" w:rsidRDefault="00143C94" w:rsidP="00680E60">
      <w:pPr>
        <w:tabs>
          <w:tab w:val="left" w:pos="0"/>
        </w:tabs>
        <w:adjustRightInd w:val="0"/>
        <w:snapToGrid w:val="0"/>
        <w:jc w:val="right"/>
        <w:rPr>
          <w:b/>
          <w:szCs w:val="24"/>
        </w:rPr>
      </w:pPr>
    </w:p>
    <w:p w14:paraId="190E57D0" w14:textId="39E95EB9" w:rsidR="00143C94" w:rsidRDefault="00C850CB" w:rsidP="00680E60">
      <w:pPr>
        <w:tabs>
          <w:tab w:val="left" w:pos="0"/>
        </w:tabs>
        <w:jc w:val="center"/>
        <w:rPr>
          <w:rFonts w:ascii="PMingLiU" w:hAnsi="PMingLiU"/>
          <w:b/>
          <w:szCs w:val="24"/>
        </w:rPr>
      </w:pPr>
      <w:r>
        <w:rPr>
          <w:rFonts w:ascii="PMingLiU" w:hAnsi="PMingLiU" w:hint="eastAsia"/>
          <w:b/>
          <w:szCs w:val="24"/>
        </w:rPr>
        <w:t>「</w:t>
      </w:r>
      <w:r w:rsidR="00E4340B" w:rsidRPr="00E4340B">
        <w:rPr>
          <w:rFonts w:ascii="PMingLiU" w:hAnsi="PMingLiU" w:hint="eastAsia"/>
          <w:b/>
          <w:szCs w:val="24"/>
        </w:rPr>
        <w:t>一國兩制</w:t>
      </w:r>
      <w:r>
        <w:rPr>
          <w:rFonts w:ascii="PMingLiU" w:hAnsi="PMingLiU" w:hint="eastAsia"/>
          <w:b/>
          <w:szCs w:val="24"/>
        </w:rPr>
        <w:t>」</w:t>
      </w:r>
      <w:r w:rsidR="00E4340B" w:rsidRPr="00E4340B">
        <w:rPr>
          <w:rFonts w:ascii="PMingLiU" w:hAnsi="PMingLiU" w:hint="eastAsia"/>
          <w:b/>
          <w:szCs w:val="24"/>
        </w:rPr>
        <w:t>與法治中國建設專題研修班</w:t>
      </w:r>
    </w:p>
    <w:p w14:paraId="564B85BA" w14:textId="4B958956" w:rsidR="00143C94" w:rsidRDefault="00143C94" w:rsidP="00680E60">
      <w:pPr>
        <w:tabs>
          <w:tab w:val="left" w:pos="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  <w:r w:rsidRPr="000D2283">
        <w:rPr>
          <w:rFonts w:ascii="PMingLiU" w:hAnsi="PMingLiU" w:hint="eastAsia"/>
          <w:b/>
          <w:szCs w:val="24"/>
        </w:rPr>
        <w:t>2</w:t>
      </w:r>
      <w:r w:rsidRPr="000D2283">
        <w:rPr>
          <w:rFonts w:ascii="PMingLiU" w:hAnsi="PMingLiU"/>
          <w:b/>
          <w:szCs w:val="24"/>
        </w:rPr>
        <w:t>02</w:t>
      </w:r>
      <w:r w:rsidR="00E4340B">
        <w:rPr>
          <w:rFonts w:ascii="PMingLiU" w:hAnsi="PMingLiU" w:hint="eastAsia"/>
          <w:b/>
          <w:szCs w:val="24"/>
        </w:rPr>
        <w:t>5</w:t>
      </w:r>
      <w:r w:rsidRPr="000D2283">
        <w:rPr>
          <w:rFonts w:ascii="PMingLiU" w:hAnsi="PMingLiU" w:hint="eastAsia"/>
          <w:b/>
          <w:szCs w:val="24"/>
        </w:rPr>
        <w:t>年</w:t>
      </w:r>
      <w:r w:rsidR="00E4340B">
        <w:rPr>
          <w:rFonts w:ascii="PMingLiU" w:hAnsi="PMingLiU" w:hint="eastAsia"/>
          <w:b/>
          <w:szCs w:val="24"/>
        </w:rPr>
        <w:t>5</w:t>
      </w:r>
      <w:r w:rsidRPr="000D2283">
        <w:rPr>
          <w:rFonts w:ascii="PMingLiU" w:hAnsi="PMingLiU" w:hint="eastAsia"/>
          <w:b/>
          <w:szCs w:val="24"/>
        </w:rPr>
        <w:t>月</w:t>
      </w:r>
      <w:r w:rsidR="00E4340B">
        <w:rPr>
          <w:rFonts w:ascii="PMingLiU" w:hAnsi="PMingLiU" w:hint="eastAsia"/>
          <w:b/>
          <w:szCs w:val="24"/>
        </w:rPr>
        <w:t>25</w:t>
      </w:r>
      <w:r w:rsidRPr="000D2283">
        <w:rPr>
          <w:rFonts w:ascii="PMingLiU" w:hAnsi="PMingLiU" w:hint="eastAsia"/>
          <w:b/>
          <w:szCs w:val="24"/>
        </w:rPr>
        <w:t>日至</w:t>
      </w:r>
      <w:r w:rsidR="00E4340B">
        <w:rPr>
          <w:rFonts w:ascii="PMingLiU" w:hAnsi="PMingLiU" w:hint="eastAsia"/>
          <w:b/>
          <w:szCs w:val="24"/>
        </w:rPr>
        <w:t>5</w:t>
      </w:r>
      <w:r w:rsidRPr="000D2283">
        <w:rPr>
          <w:rFonts w:ascii="PMingLiU" w:hAnsi="PMingLiU" w:hint="eastAsia"/>
          <w:b/>
          <w:szCs w:val="24"/>
        </w:rPr>
        <w:t>月</w:t>
      </w:r>
      <w:r w:rsidR="00665D1A">
        <w:rPr>
          <w:rFonts w:ascii="PMingLiU" w:hAnsi="PMingLiU" w:hint="eastAsia"/>
          <w:b/>
          <w:szCs w:val="24"/>
        </w:rPr>
        <w:t>2</w:t>
      </w:r>
      <w:r w:rsidR="00E4340B">
        <w:rPr>
          <w:rFonts w:ascii="PMingLiU" w:hAnsi="PMingLiU" w:hint="eastAsia"/>
          <w:b/>
          <w:szCs w:val="24"/>
        </w:rPr>
        <w:t>9</w:t>
      </w:r>
      <w:r w:rsidRPr="000D2283">
        <w:rPr>
          <w:rFonts w:ascii="PMingLiU" w:hAnsi="PMingLiU" w:hint="eastAsia"/>
          <w:b/>
          <w:szCs w:val="24"/>
        </w:rPr>
        <w:t>日</w:t>
      </w:r>
    </w:p>
    <w:p w14:paraId="4FAAAD3E" w14:textId="77777777" w:rsidR="00E4340B" w:rsidRPr="000D2283" w:rsidRDefault="00E4340B" w:rsidP="00680E60">
      <w:pPr>
        <w:tabs>
          <w:tab w:val="left" w:pos="0"/>
        </w:tabs>
        <w:adjustRightInd w:val="0"/>
        <w:snapToGrid w:val="0"/>
        <w:jc w:val="center"/>
        <w:rPr>
          <w:rFonts w:ascii="PMingLiU" w:hAnsi="PMingLiU"/>
          <w:b/>
          <w:szCs w:val="24"/>
        </w:rPr>
      </w:pPr>
    </w:p>
    <w:p w14:paraId="2A560F22" w14:textId="6D5405C1" w:rsidR="00143C94" w:rsidRPr="000D2283" w:rsidRDefault="00E4340B" w:rsidP="00680E60">
      <w:pPr>
        <w:tabs>
          <w:tab w:val="left" w:pos="0"/>
        </w:tabs>
        <w:ind w:left="142"/>
        <w:jc w:val="center"/>
        <w:rPr>
          <w:rFonts w:ascii="PMingLiU" w:hAnsi="PMingLiU"/>
          <w:b/>
          <w:szCs w:val="24"/>
        </w:rPr>
      </w:pPr>
      <w:r>
        <w:rPr>
          <w:rFonts w:ascii="PMingLiU" w:hAnsi="PMingLiU"/>
          <w:b/>
          <w:noProof/>
          <w:szCs w:val="24"/>
        </w:rPr>
        <w:drawing>
          <wp:inline distT="0" distB="0" distL="0" distR="0" wp14:anchorId="250A7261" wp14:editId="011FA0E8">
            <wp:extent cx="1787536" cy="1360627"/>
            <wp:effectExtent l="0" t="0" r="3175" b="0"/>
            <wp:docPr id="14441319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"/>
                              </a14:imgEffect>
                              <a14:imgEffect>
                                <a14:brightnessContrast bright="3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954" cy="136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MingLiU" w:hAnsi="PMingLiU" w:hint="eastAsia"/>
          <w:b/>
          <w:szCs w:val="24"/>
        </w:rPr>
        <w:t xml:space="preserve">  </w:t>
      </w:r>
      <w:r>
        <w:rPr>
          <w:rFonts w:ascii="PMingLiU" w:hAnsi="PMingLiU"/>
          <w:b/>
          <w:noProof/>
          <w:szCs w:val="24"/>
        </w:rPr>
        <w:drawing>
          <wp:inline distT="0" distB="0" distL="0" distR="0" wp14:anchorId="6FBD50D5" wp14:editId="7CDFF06A">
            <wp:extent cx="2038666" cy="1360800"/>
            <wp:effectExtent l="0" t="0" r="0" b="0"/>
            <wp:docPr id="15668802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66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47AB" w14:textId="77777777" w:rsidR="00143C94" w:rsidRPr="000D2283" w:rsidRDefault="00143C94" w:rsidP="00680E60">
      <w:pPr>
        <w:tabs>
          <w:tab w:val="left" w:pos="0"/>
        </w:tabs>
        <w:adjustRightInd w:val="0"/>
        <w:snapToGrid w:val="0"/>
        <w:ind w:right="560"/>
        <w:rPr>
          <w:rFonts w:ascii="PMingLiU" w:hAnsi="PMingLiU"/>
          <w:b/>
          <w:szCs w:val="24"/>
          <w:u w:val="single"/>
          <w:lang w:val="en-US"/>
        </w:rPr>
      </w:pPr>
    </w:p>
    <w:p w14:paraId="0DBD4D6E" w14:textId="65C8538B" w:rsidR="00143C94" w:rsidRPr="000D2283" w:rsidRDefault="00E4340B" w:rsidP="00680E60">
      <w:pPr>
        <w:tabs>
          <w:tab w:val="left" w:pos="0"/>
        </w:tabs>
        <w:ind w:firstLine="360"/>
        <w:jc w:val="both"/>
        <w:rPr>
          <w:rFonts w:ascii="PMingLiU" w:hAnsi="PMingLiU"/>
          <w:szCs w:val="24"/>
        </w:rPr>
      </w:pPr>
      <w:r w:rsidRPr="00E4340B">
        <w:rPr>
          <w:rFonts w:ascii="PMingLiU" w:hAnsi="PMingLiU" w:hint="eastAsia"/>
          <w:szCs w:val="24"/>
        </w:rPr>
        <w:t>中央政府駐港聯絡辦法律部將於5月25日</w:t>
      </w:r>
      <w:r w:rsidR="00491850" w:rsidRPr="00680E60">
        <w:rPr>
          <w:rFonts w:ascii="PMingLiU" w:hAnsi="PMingLiU" w:hint="eastAsia"/>
          <w:szCs w:val="24"/>
        </w:rPr>
        <w:t>至</w:t>
      </w:r>
      <w:r w:rsidRPr="00E4340B">
        <w:rPr>
          <w:rFonts w:ascii="PMingLiU" w:hAnsi="PMingLiU" w:hint="eastAsia"/>
          <w:szCs w:val="24"/>
        </w:rPr>
        <w:t>5月29日於國家行政學院舉辦</w:t>
      </w:r>
      <w:r w:rsidR="00B743F7">
        <w:rPr>
          <w:rFonts w:ascii="PMingLiU" w:hAnsi="PMingLiU" w:hint="eastAsia"/>
          <w:szCs w:val="24"/>
        </w:rPr>
        <w:t>「</w:t>
      </w:r>
      <w:r w:rsidRPr="00E4340B">
        <w:rPr>
          <w:rFonts w:ascii="PMingLiU" w:hAnsi="PMingLiU" w:hint="eastAsia"/>
          <w:szCs w:val="24"/>
        </w:rPr>
        <w:t>一國兩制</w:t>
      </w:r>
      <w:r w:rsidR="00B743F7">
        <w:rPr>
          <w:rFonts w:ascii="PMingLiU" w:hAnsi="PMingLiU" w:hint="eastAsia"/>
          <w:szCs w:val="24"/>
        </w:rPr>
        <w:t>」</w:t>
      </w:r>
      <w:r w:rsidRPr="00E4340B">
        <w:rPr>
          <w:rFonts w:ascii="PMingLiU" w:hAnsi="PMingLiU" w:hint="eastAsia"/>
          <w:szCs w:val="24"/>
        </w:rPr>
        <w:t>與法治中國建設專題研修班，邀請國家行政學院、清華大學、國防大學等專家教授授課，並參訪高新技術企業、曆史展覽館等場館。所有學員只需自購來回機票，其他費用全免。名額有限，報滿即止，歡迎香港法律界人士踴躍報名。</w:t>
      </w:r>
    </w:p>
    <w:p w14:paraId="3250346D" w14:textId="77777777" w:rsidR="00143C94" w:rsidRPr="000D2283" w:rsidRDefault="00143C94" w:rsidP="00680E60">
      <w:pPr>
        <w:tabs>
          <w:tab w:val="left" w:pos="0"/>
        </w:tabs>
        <w:rPr>
          <w:rFonts w:ascii="PMingLiU" w:hAnsi="PMingLiU"/>
          <w:szCs w:val="24"/>
        </w:rPr>
      </w:pPr>
    </w:p>
    <w:p w14:paraId="49F80DAB" w14:textId="77777777" w:rsidR="00143C94" w:rsidRPr="000D2283" w:rsidRDefault="00143C94" w:rsidP="00680E60">
      <w:pPr>
        <w:pStyle w:val="ListParagraph"/>
        <w:numPr>
          <w:ilvl w:val="0"/>
          <w:numId w:val="4"/>
        </w:numPr>
        <w:tabs>
          <w:tab w:val="left" w:pos="0"/>
        </w:tabs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時間：</w:t>
      </w:r>
    </w:p>
    <w:p w14:paraId="4C312B51" w14:textId="4B6143E1" w:rsidR="00143C94" w:rsidRPr="000D2283" w:rsidRDefault="00143C94" w:rsidP="00680E60">
      <w:pPr>
        <w:tabs>
          <w:tab w:val="left" w:pos="0"/>
        </w:tabs>
        <w:ind w:left="360"/>
        <w:rPr>
          <w:rFonts w:ascii="PMingLiU" w:hAnsi="PMingLiU"/>
          <w:szCs w:val="24"/>
        </w:rPr>
      </w:pPr>
      <w:r w:rsidRPr="000D2283">
        <w:rPr>
          <w:rFonts w:ascii="PMingLiU" w:hAnsi="PMingLiU"/>
          <w:szCs w:val="24"/>
        </w:rPr>
        <w:t>202</w:t>
      </w:r>
      <w:r w:rsidR="00E4340B">
        <w:rPr>
          <w:rFonts w:ascii="PMingLiU" w:hAnsi="PMingLiU" w:hint="eastAsia"/>
          <w:szCs w:val="24"/>
        </w:rPr>
        <w:t>5</w:t>
      </w:r>
      <w:r w:rsidRPr="000D2283">
        <w:rPr>
          <w:rFonts w:ascii="PMingLiU" w:hAnsi="PMingLiU" w:hint="eastAsia"/>
          <w:szCs w:val="24"/>
        </w:rPr>
        <w:t>年</w:t>
      </w:r>
      <w:r w:rsidR="00E4340B">
        <w:rPr>
          <w:rFonts w:ascii="PMingLiU" w:hAnsi="PMingLiU" w:hint="eastAsia"/>
          <w:szCs w:val="24"/>
        </w:rPr>
        <w:t>5</w:t>
      </w:r>
      <w:r w:rsidRPr="000D2283">
        <w:rPr>
          <w:rFonts w:ascii="PMingLiU" w:hAnsi="PMingLiU" w:hint="eastAsia"/>
          <w:szCs w:val="24"/>
        </w:rPr>
        <w:t>月2</w:t>
      </w:r>
      <w:r w:rsidR="00E4340B">
        <w:rPr>
          <w:rFonts w:ascii="PMingLiU" w:hAnsi="PMingLiU" w:hint="eastAsia"/>
          <w:szCs w:val="24"/>
        </w:rPr>
        <w:t>5</w:t>
      </w:r>
      <w:r w:rsidRPr="000D2283">
        <w:rPr>
          <w:rFonts w:ascii="PMingLiU" w:hAnsi="PMingLiU" w:hint="eastAsia"/>
          <w:szCs w:val="24"/>
        </w:rPr>
        <w:t>日（週</w:t>
      </w:r>
      <w:r w:rsidR="00E4340B">
        <w:rPr>
          <w:rFonts w:ascii="PMingLiU" w:hAnsi="PMingLiU" w:hint="eastAsia"/>
          <w:szCs w:val="24"/>
        </w:rPr>
        <w:t>日</w:t>
      </w:r>
      <w:r w:rsidRPr="000D2283">
        <w:rPr>
          <w:rFonts w:ascii="PMingLiU" w:hAnsi="PMingLiU" w:hint="eastAsia"/>
          <w:szCs w:val="24"/>
        </w:rPr>
        <w:t>）</w:t>
      </w:r>
      <w:r>
        <w:rPr>
          <w:rFonts w:ascii="PMingLiU" w:hAnsi="PMingLiU" w:hint="eastAsia"/>
          <w:szCs w:val="24"/>
        </w:rPr>
        <w:t>至</w:t>
      </w:r>
      <w:r w:rsidR="00E4340B">
        <w:rPr>
          <w:rFonts w:ascii="PMingLiU" w:hAnsi="PMingLiU" w:hint="eastAsia"/>
          <w:szCs w:val="24"/>
        </w:rPr>
        <w:t>5</w:t>
      </w:r>
      <w:r w:rsidRPr="000D2283">
        <w:rPr>
          <w:rFonts w:ascii="PMingLiU" w:hAnsi="PMingLiU" w:hint="eastAsia"/>
          <w:szCs w:val="24"/>
        </w:rPr>
        <w:t>月</w:t>
      </w:r>
      <w:r w:rsidR="00E4340B">
        <w:rPr>
          <w:rFonts w:ascii="PMingLiU" w:hAnsi="PMingLiU" w:hint="eastAsia"/>
          <w:szCs w:val="24"/>
        </w:rPr>
        <w:t>29</w:t>
      </w:r>
      <w:r w:rsidRPr="000D2283">
        <w:rPr>
          <w:rFonts w:ascii="PMingLiU" w:hAnsi="PMingLiU" w:hint="eastAsia"/>
          <w:szCs w:val="24"/>
        </w:rPr>
        <w:t>日（週</w:t>
      </w:r>
      <w:r w:rsidR="00E4340B">
        <w:rPr>
          <w:rFonts w:ascii="PMingLiU" w:hAnsi="PMingLiU" w:hint="eastAsia"/>
          <w:szCs w:val="24"/>
        </w:rPr>
        <w:t>四</w:t>
      </w:r>
      <w:r w:rsidRPr="000D2283">
        <w:rPr>
          <w:rFonts w:ascii="PMingLiU" w:hAnsi="PMingLiU" w:hint="eastAsia"/>
          <w:szCs w:val="24"/>
        </w:rPr>
        <w:t>）</w:t>
      </w:r>
    </w:p>
    <w:p w14:paraId="1557A63C" w14:textId="77777777" w:rsidR="00143C94" w:rsidRPr="000D2283" w:rsidRDefault="00143C94" w:rsidP="00680E60">
      <w:pPr>
        <w:tabs>
          <w:tab w:val="left" w:pos="0"/>
        </w:tabs>
        <w:rPr>
          <w:rFonts w:ascii="PMingLiU" w:hAnsi="PMingLiU"/>
          <w:szCs w:val="24"/>
        </w:rPr>
      </w:pPr>
    </w:p>
    <w:p w14:paraId="5E90FD2C" w14:textId="77777777" w:rsidR="00143C94" w:rsidRPr="000D2283" w:rsidRDefault="00143C94" w:rsidP="00680E60">
      <w:pPr>
        <w:pStyle w:val="ListParagraph"/>
        <w:numPr>
          <w:ilvl w:val="0"/>
          <w:numId w:val="4"/>
        </w:numPr>
        <w:tabs>
          <w:tab w:val="left" w:pos="0"/>
        </w:tabs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地點：</w:t>
      </w:r>
    </w:p>
    <w:p w14:paraId="7B4D75B8" w14:textId="7153974A" w:rsidR="00143C94" w:rsidRPr="000D2283" w:rsidRDefault="00143C94" w:rsidP="00680E60">
      <w:pPr>
        <w:tabs>
          <w:tab w:val="left" w:pos="0"/>
        </w:tabs>
        <w:ind w:left="360"/>
        <w:rPr>
          <w:rFonts w:ascii="PMingLiU" w:hAnsi="PMingLiU"/>
          <w:szCs w:val="24"/>
        </w:rPr>
      </w:pPr>
      <w:r w:rsidRPr="000D2283">
        <w:rPr>
          <w:rFonts w:ascii="PMingLiU" w:hAnsi="PMingLiU" w:hint="eastAsia"/>
          <w:szCs w:val="24"/>
        </w:rPr>
        <w:t>上課：</w:t>
      </w:r>
      <w:r w:rsidR="00E4340B" w:rsidRPr="00E4340B">
        <w:rPr>
          <w:rFonts w:ascii="PMingLiU" w:hAnsi="PMingLiU" w:hint="eastAsia"/>
          <w:szCs w:val="24"/>
        </w:rPr>
        <w:t>國家行政學院</w:t>
      </w:r>
      <w:r w:rsidRPr="000D2283">
        <w:rPr>
          <w:rFonts w:ascii="PMingLiU" w:hAnsi="PMingLiU" w:hint="eastAsia"/>
          <w:szCs w:val="24"/>
        </w:rPr>
        <w:t>；住宿：</w:t>
      </w:r>
      <w:r w:rsidR="00E4340B" w:rsidRPr="00E4340B">
        <w:rPr>
          <w:rFonts w:ascii="PMingLiU" w:hAnsi="PMingLiU" w:hint="eastAsia"/>
          <w:szCs w:val="24"/>
        </w:rPr>
        <w:t>國家行政學院港澳樓</w:t>
      </w:r>
    </w:p>
    <w:p w14:paraId="65AA13E5" w14:textId="77777777" w:rsidR="00143C94" w:rsidRPr="000D2283" w:rsidRDefault="00143C94" w:rsidP="00680E60">
      <w:pPr>
        <w:tabs>
          <w:tab w:val="left" w:pos="0"/>
        </w:tabs>
        <w:rPr>
          <w:rFonts w:ascii="PMingLiU" w:hAnsi="PMingLiU"/>
          <w:szCs w:val="24"/>
        </w:rPr>
      </w:pPr>
    </w:p>
    <w:p w14:paraId="2FBAC952" w14:textId="2D10F047" w:rsidR="00143C94" w:rsidRPr="005772C3" w:rsidRDefault="00143C94" w:rsidP="00680E60">
      <w:pPr>
        <w:pStyle w:val="ListParagraph"/>
        <w:numPr>
          <w:ilvl w:val="0"/>
          <w:numId w:val="4"/>
        </w:numPr>
        <w:tabs>
          <w:tab w:val="left" w:pos="0"/>
        </w:tabs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行程：</w:t>
      </w:r>
    </w:p>
    <w:tbl>
      <w:tblPr>
        <w:tblpPr w:leftFromText="180" w:rightFromText="180" w:vertAnchor="page" w:horzAnchor="margin" w:tblpY="94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096"/>
        <w:gridCol w:w="1275"/>
      </w:tblGrid>
      <w:tr w:rsidR="00E4340B" w:rsidRPr="003416D0" w14:paraId="76D47892" w14:textId="77777777" w:rsidTr="00E240D0">
        <w:trPr>
          <w:trHeight w:val="399"/>
        </w:trPr>
        <w:tc>
          <w:tcPr>
            <w:tcW w:w="1271" w:type="dxa"/>
            <w:shd w:val="clear" w:color="auto" w:fill="auto"/>
          </w:tcPr>
          <w:p w14:paraId="6AAC479C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日期</w:t>
            </w:r>
          </w:p>
        </w:tc>
        <w:tc>
          <w:tcPr>
            <w:tcW w:w="992" w:type="dxa"/>
            <w:shd w:val="clear" w:color="auto" w:fill="auto"/>
          </w:tcPr>
          <w:p w14:paraId="6E4416D1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時間</w:t>
            </w:r>
          </w:p>
        </w:tc>
        <w:tc>
          <w:tcPr>
            <w:tcW w:w="6096" w:type="dxa"/>
            <w:shd w:val="clear" w:color="auto" w:fill="auto"/>
          </w:tcPr>
          <w:p w14:paraId="452C4663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內容安排</w:t>
            </w:r>
          </w:p>
        </w:tc>
        <w:tc>
          <w:tcPr>
            <w:tcW w:w="1275" w:type="dxa"/>
          </w:tcPr>
          <w:p w14:paraId="4E95248C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/>
                <w:lang w:eastAsia="zh-TW"/>
              </w:rPr>
            </w:pPr>
            <w:r w:rsidRPr="003416D0">
              <w:rPr>
                <w:rFonts w:ascii="PMingLiU" w:hAnsi="PMingLiU" w:hint="eastAsia"/>
                <w:b/>
                <w:lang w:eastAsia="zh-TW"/>
              </w:rPr>
              <w:t>任教教授</w:t>
            </w:r>
          </w:p>
        </w:tc>
      </w:tr>
      <w:tr w:rsidR="00E4340B" w:rsidRPr="003416D0" w14:paraId="69EBDF43" w14:textId="77777777" w:rsidTr="00E240D0">
        <w:trPr>
          <w:trHeight w:val="399"/>
        </w:trPr>
        <w:tc>
          <w:tcPr>
            <w:tcW w:w="1271" w:type="dxa"/>
            <w:vMerge w:val="restart"/>
            <w:shd w:val="clear" w:color="auto" w:fill="auto"/>
          </w:tcPr>
          <w:p w14:paraId="275D43C7" w14:textId="77777777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 w:rsidRPr="00A574F5">
              <w:rPr>
                <w:rFonts w:ascii="PMingLiU" w:hAnsi="PMingLiU" w:hint="eastAsia"/>
                <w:bCs/>
                <w:lang w:eastAsia="zh-TW"/>
              </w:rPr>
              <w:t>5月25日</w:t>
            </w:r>
          </w:p>
        </w:tc>
        <w:tc>
          <w:tcPr>
            <w:tcW w:w="992" w:type="dxa"/>
            <w:shd w:val="clear" w:color="auto" w:fill="auto"/>
          </w:tcPr>
          <w:p w14:paraId="3FFDF2DF" w14:textId="77777777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 w:rsidRPr="00A574F5">
              <w:rPr>
                <w:rFonts w:ascii="PMingLiU" w:hAnsi="PMingLiU" w:hint="eastAsia"/>
                <w:bCs/>
                <w:lang w:eastAsia="zh-TW"/>
              </w:rPr>
              <w:t>下午</w:t>
            </w:r>
          </w:p>
        </w:tc>
        <w:tc>
          <w:tcPr>
            <w:tcW w:w="6096" w:type="dxa"/>
            <w:shd w:val="clear" w:color="auto" w:fill="auto"/>
          </w:tcPr>
          <w:p w14:paraId="0C5B3D17" w14:textId="77777777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 w:rsidRPr="00E4340B">
              <w:rPr>
                <w:rFonts w:ascii="PMingLiU" w:hAnsi="PMingLiU" w:hint="eastAsia"/>
                <w:bCs/>
                <w:lang w:eastAsia="zh-TW"/>
              </w:rPr>
              <w:t>學員自行赴京，入住國家行政學院港澳樓</w:t>
            </w:r>
          </w:p>
        </w:tc>
        <w:tc>
          <w:tcPr>
            <w:tcW w:w="1275" w:type="dxa"/>
          </w:tcPr>
          <w:p w14:paraId="23435A4C" w14:textId="2B966A86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>
              <w:rPr>
                <w:rFonts w:ascii="PMingLiU" w:hAnsi="PMingLiU" w:hint="eastAsia"/>
                <w:bCs/>
                <w:lang w:eastAsia="zh-TW"/>
              </w:rPr>
              <w:t>-</w:t>
            </w:r>
          </w:p>
        </w:tc>
      </w:tr>
      <w:tr w:rsidR="00E4340B" w:rsidRPr="003416D0" w14:paraId="0D82A2AF" w14:textId="77777777" w:rsidTr="00E240D0">
        <w:trPr>
          <w:trHeight w:val="399"/>
        </w:trPr>
        <w:tc>
          <w:tcPr>
            <w:tcW w:w="1271" w:type="dxa"/>
            <w:vMerge/>
            <w:shd w:val="clear" w:color="auto" w:fill="auto"/>
          </w:tcPr>
          <w:p w14:paraId="18E0FC63" w14:textId="77777777" w:rsidR="00E4340B" w:rsidRPr="00E4340B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</w:p>
        </w:tc>
        <w:tc>
          <w:tcPr>
            <w:tcW w:w="992" w:type="dxa"/>
            <w:shd w:val="clear" w:color="auto" w:fill="auto"/>
          </w:tcPr>
          <w:p w14:paraId="0A3F1CCA" w14:textId="77777777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>
              <w:rPr>
                <w:rFonts w:ascii="PMingLiU" w:hAnsi="PMingLiU" w:hint="eastAsia"/>
                <w:lang w:eastAsia="zh-TW"/>
              </w:rPr>
              <w:t>17</w:t>
            </w:r>
            <w:r w:rsidRPr="003416D0">
              <w:rPr>
                <w:rFonts w:ascii="PMingLiU" w:hAnsi="PMingLiU" w:hint="eastAsia"/>
                <w:lang w:eastAsia="zh-TW"/>
              </w:rPr>
              <w:t>：</w:t>
            </w:r>
            <w:r>
              <w:rPr>
                <w:rFonts w:ascii="PMingLiU" w:hAnsi="PMingLiU" w:hint="eastAsia"/>
                <w:lang w:eastAsia="zh-TW"/>
              </w:rPr>
              <w:t>3</w:t>
            </w:r>
            <w:r w:rsidRPr="003416D0">
              <w:rPr>
                <w:rFonts w:ascii="PMingLiU" w:hAnsi="PMingLiU"/>
                <w:lang w:eastAsia="zh-TW"/>
              </w:rPr>
              <w:t>0</w:t>
            </w:r>
          </w:p>
        </w:tc>
        <w:tc>
          <w:tcPr>
            <w:tcW w:w="6096" w:type="dxa"/>
            <w:shd w:val="clear" w:color="auto" w:fill="auto"/>
          </w:tcPr>
          <w:p w14:paraId="3240150D" w14:textId="49B157D0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 w:rsidRPr="00E4340B">
              <w:rPr>
                <w:rFonts w:ascii="PMingLiU" w:hAnsi="PMingLiU" w:hint="eastAsia"/>
                <w:bCs/>
                <w:lang w:eastAsia="zh-TW"/>
              </w:rPr>
              <w:t>參加教學預備會</w:t>
            </w:r>
          </w:p>
        </w:tc>
        <w:tc>
          <w:tcPr>
            <w:tcW w:w="1275" w:type="dxa"/>
          </w:tcPr>
          <w:p w14:paraId="5F7458E1" w14:textId="4732B0C7" w:rsidR="00E4340B" w:rsidRPr="00A574F5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bCs/>
                <w:lang w:eastAsia="zh-TW"/>
              </w:rPr>
            </w:pPr>
            <w:r>
              <w:rPr>
                <w:rFonts w:ascii="PMingLiU" w:hAnsi="PMingLiU" w:hint="eastAsia"/>
                <w:bCs/>
                <w:lang w:eastAsia="zh-TW"/>
              </w:rPr>
              <w:t>-</w:t>
            </w:r>
          </w:p>
        </w:tc>
      </w:tr>
      <w:tr w:rsidR="00E4340B" w:rsidRPr="003416D0" w14:paraId="2F13FFBC" w14:textId="77777777" w:rsidTr="00E240D0">
        <w:trPr>
          <w:trHeight w:val="399"/>
        </w:trPr>
        <w:tc>
          <w:tcPr>
            <w:tcW w:w="1271" w:type="dxa"/>
            <w:shd w:val="clear" w:color="auto" w:fill="auto"/>
          </w:tcPr>
          <w:p w14:paraId="67A7B91C" w14:textId="1A15DB66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 w:hint="eastAsia"/>
                <w:lang w:eastAsia="zh-TW"/>
              </w:rPr>
              <w:t>5月26日至29日</w:t>
            </w:r>
            <w:r w:rsidRPr="003416D0">
              <w:rPr>
                <w:rFonts w:ascii="PMingLiU" w:hAnsi="PMingLiU"/>
                <w:lang w:eastAsia="zh-TW"/>
              </w:rPr>
              <w:t xml:space="preserve">          </w:t>
            </w:r>
          </w:p>
        </w:tc>
        <w:tc>
          <w:tcPr>
            <w:tcW w:w="992" w:type="dxa"/>
            <w:shd w:val="clear" w:color="auto" w:fill="auto"/>
          </w:tcPr>
          <w:p w14:paraId="28756773" w14:textId="226454ED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 w:hint="eastAsia"/>
                <w:lang w:eastAsia="zh-TW"/>
              </w:rPr>
              <w:t>待定</w:t>
            </w:r>
          </w:p>
        </w:tc>
        <w:tc>
          <w:tcPr>
            <w:tcW w:w="6096" w:type="dxa"/>
            <w:shd w:val="clear" w:color="auto" w:fill="auto"/>
          </w:tcPr>
          <w:p w14:paraId="26D4869E" w14:textId="77777777" w:rsidR="00E4340B" w:rsidRPr="005772C3" w:rsidRDefault="00E4340B" w:rsidP="00680E6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djustRightInd w:val="0"/>
              <w:snapToGrid w:val="0"/>
              <w:rPr>
                <w:rFonts w:ascii="PMingLiU" w:hAnsi="PMingLiU"/>
              </w:rPr>
            </w:pPr>
            <w:r w:rsidRPr="005772C3">
              <w:rPr>
                <w:rFonts w:ascii="PMingLiU" w:hAnsi="PMingLiU" w:hint="eastAsia"/>
              </w:rPr>
              <w:t>全面準確、堅定不移貫徹貫徹“一國兩制”</w:t>
            </w:r>
          </w:p>
          <w:p w14:paraId="423D189D" w14:textId="77777777" w:rsidR="00E4340B" w:rsidRPr="005772C3" w:rsidRDefault="00E4340B" w:rsidP="00680E6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djustRightInd w:val="0"/>
              <w:snapToGrid w:val="0"/>
              <w:rPr>
                <w:rFonts w:ascii="PMingLiU" w:hAnsi="PMingLiU"/>
              </w:rPr>
            </w:pPr>
            <w:r w:rsidRPr="005772C3">
              <w:rPr>
                <w:rFonts w:ascii="PMingLiU" w:hAnsi="PMingLiU" w:hint="eastAsia"/>
              </w:rPr>
              <w:t>堅持全面依法治國，推進法治中國建設</w:t>
            </w:r>
          </w:p>
          <w:p w14:paraId="3CE6283C" w14:textId="77777777" w:rsidR="00E4340B" w:rsidRPr="005772C3" w:rsidRDefault="00E4340B" w:rsidP="00680E6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djustRightInd w:val="0"/>
              <w:snapToGrid w:val="0"/>
              <w:rPr>
                <w:rFonts w:ascii="PMingLiU" w:hAnsi="PMingLiU"/>
              </w:rPr>
            </w:pPr>
            <w:r w:rsidRPr="005772C3">
              <w:rPr>
                <w:rFonts w:ascii="PMingLiU" w:hAnsi="PMingLiU" w:hint="eastAsia"/>
              </w:rPr>
              <w:t>國家安全與國防建設</w:t>
            </w:r>
          </w:p>
          <w:p w14:paraId="64A26088" w14:textId="77777777" w:rsidR="00E4340B" w:rsidRPr="005772C3" w:rsidRDefault="00E4340B" w:rsidP="00680E6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djustRightInd w:val="0"/>
              <w:snapToGrid w:val="0"/>
              <w:rPr>
                <w:rFonts w:ascii="PMingLiU" w:hAnsi="PMingLiU"/>
              </w:rPr>
            </w:pPr>
            <w:r w:rsidRPr="005772C3">
              <w:rPr>
                <w:rFonts w:ascii="PMingLiU" w:hAnsi="PMingLiU" w:hint="eastAsia"/>
              </w:rPr>
              <w:t>人工智能對法律服務帶來的機遇和挑戰</w:t>
            </w:r>
          </w:p>
          <w:p w14:paraId="3B0E7F6B" w14:textId="31BD702F" w:rsidR="00E4340B" w:rsidRPr="005772C3" w:rsidRDefault="00E4340B" w:rsidP="00680E60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adjustRightInd w:val="0"/>
              <w:snapToGrid w:val="0"/>
              <w:rPr>
                <w:rFonts w:ascii="PMingLiU" w:hAnsi="PMingLiU"/>
              </w:rPr>
            </w:pPr>
            <w:r w:rsidRPr="005772C3">
              <w:rPr>
                <w:rFonts w:ascii="PMingLiU" w:hAnsi="PMingLiU" w:hint="eastAsia"/>
              </w:rPr>
              <w:t>中關村國家自主創新示範區展示中心、國家博物館等</w:t>
            </w:r>
          </w:p>
        </w:tc>
        <w:tc>
          <w:tcPr>
            <w:tcW w:w="1275" w:type="dxa"/>
          </w:tcPr>
          <w:p w14:paraId="363B0124" w14:textId="37FD209D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 w:hint="eastAsia"/>
                <w:lang w:eastAsia="zh-TW"/>
              </w:rPr>
              <w:t>待定</w:t>
            </w:r>
          </w:p>
        </w:tc>
      </w:tr>
      <w:tr w:rsidR="00E4340B" w:rsidRPr="003416D0" w14:paraId="0280AE06" w14:textId="77777777" w:rsidTr="00E240D0">
        <w:trPr>
          <w:trHeight w:val="70"/>
        </w:trPr>
        <w:tc>
          <w:tcPr>
            <w:tcW w:w="1271" w:type="dxa"/>
            <w:shd w:val="clear" w:color="auto" w:fill="auto"/>
          </w:tcPr>
          <w:p w14:paraId="458114E5" w14:textId="21A0718C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 w:hint="eastAsia"/>
                <w:lang w:eastAsia="zh-TW"/>
              </w:rPr>
              <w:t>5月29日</w:t>
            </w:r>
          </w:p>
        </w:tc>
        <w:tc>
          <w:tcPr>
            <w:tcW w:w="992" w:type="dxa"/>
            <w:shd w:val="clear" w:color="auto" w:fill="auto"/>
          </w:tcPr>
          <w:p w14:paraId="040B6C1D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  <w:lang w:eastAsia="zh-TW"/>
              </w:rPr>
              <w:t>下午</w:t>
            </w:r>
          </w:p>
        </w:tc>
        <w:tc>
          <w:tcPr>
            <w:tcW w:w="6096" w:type="dxa"/>
            <w:shd w:val="clear" w:color="auto" w:fill="auto"/>
          </w:tcPr>
          <w:p w14:paraId="453F3C9F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 w:rsidRPr="003416D0">
              <w:rPr>
                <w:rFonts w:ascii="PMingLiU" w:hAnsi="PMingLiU" w:hint="eastAsia"/>
                <w:lang w:eastAsia="zh-TW"/>
              </w:rPr>
              <w:t>返港</w:t>
            </w:r>
          </w:p>
        </w:tc>
        <w:tc>
          <w:tcPr>
            <w:tcW w:w="1275" w:type="dxa"/>
          </w:tcPr>
          <w:p w14:paraId="2605806C" w14:textId="77777777" w:rsidR="00E4340B" w:rsidRPr="003416D0" w:rsidRDefault="00E4340B" w:rsidP="00680E60">
            <w:pPr>
              <w:pStyle w:val="ListParagraph"/>
              <w:tabs>
                <w:tab w:val="left" w:pos="0"/>
              </w:tabs>
              <w:adjustRightInd w:val="0"/>
              <w:snapToGrid w:val="0"/>
              <w:ind w:left="0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/>
                <w:lang w:eastAsia="zh-TW"/>
              </w:rPr>
              <w:t>-</w:t>
            </w:r>
          </w:p>
        </w:tc>
      </w:tr>
    </w:tbl>
    <w:p w14:paraId="3D17E205" w14:textId="5139DFC0" w:rsidR="002D580F" w:rsidRDefault="002D580F" w:rsidP="00680E60">
      <w:pPr>
        <w:widowControl/>
        <w:tabs>
          <w:tab w:val="left" w:pos="0"/>
        </w:tabs>
        <w:spacing w:after="160" w:line="259" w:lineRule="auto"/>
        <w:rPr>
          <w:rFonts w:ascii="PMingLiU" w:hAnsi="PMingLiU"/>
          <w:b/>
          <w:kern w:val="0"/>
          <w:szCs w:val="24"/>
          <w:lang w:eastAsia="ar-SA"/>
        </w:rPr>
      </w:pPr>
    </w:p>
    <w:p w14:paraId="72903EFB" w14:textId="77777777" w:rsidR="00491850" w:rsidRDefault="00491850" w:rsidP="00680E60">
      <w:pPr>
        <w:pStyle w:val="ListParagraph"/>
        <w:tabs>
          <w:tab w:val="left" w:pos="0"/>
        </w:tabs>
        <w:ind w:left="720"/>
        <w:rPr>
          <w:rFonts w:ascii="PMingLiU" w:hAnsi="PMingLiU"/>
          <w:b/>
        </w:rPr>
      </w:pPr>
    </w:p>
    <w:p w14:paraId="04985F3A" w14:textId="6489DF01" w:rsidR="00491850" w:rsidRDefault="00491850" w:rsidP="00491850">
      <w:pPr>
        <w:pStyle w:val="ListParagraph"/>
        <w:tabs>
          <w:tab w:val="left" w:pos="0"/>
        </w:tabs>
        <w:ind w:left="720"/>
        <w:rPr>
          <w:rFonts w:ascii="PMingLiU" w:hAnsi="PMingLiU"/>
          <w:b/>
        </w:rPr>
      </w:pPr>
    </w:p>
    <w:p w14:paraId="7A2C6A37" w14:textId="77777777" w:rsidR="00491850" w:rsidRPr="00680E60" w:rsidRDefault="00491850" w:rsidP="00680E60"/>
    <w:p w14:paraId="66B61618" w14:textId="77777777" w:rsidR="00491850" w:rsidRPr="00680E60" w:rsidRDefault="00491850" w:rsidP="00680E60"/>
    <w:p w14:paraId="619868F3" w14:textId="77777777" w:rsidR="00491850" w:rsidRPr="00680E60" w:rsidRDefault="00491850" w:rsidP="00680E60"/>
    <w:p w14:paraId="0E82B2E5" w14:textId="77777777" w:rsidR="00491850" w:rsidRPr="00680E60" w:rsidRDefault="00491850" w:rsidP="00680E60"/>
    <w:p w14:paraId="264DA29F" w14:textId="77777777" w:rsidR="00491850" w:rsidRPr="00680E60" w:rsidRDefault="00491850" w:rsidP="00680E60"/>
    <w:p w14:paraId="183D0647" w14:textId="0B647BC4" w:rsidR="00491850" w:rsidRDefault="00491850" w:rsidP="00491850">
      <w:pPr>
        <w:rPr>
          <w:lang w:eastAsia="ar-SA"/>
        </w:rPr>
      </w:pPr>
    </w:p>
    <w:p w14:paraId="28ECC50D" w14:textId="1E505C11" w:rsidR="00491850" w:rsidRDefault="00491850" w:rsidP="00491850">
      <w:pPr>
        <w:rPr>
          <w:lang w:eastAsia="ar-SA"/>
        </w:rPr>
      </w:pPr>
    </w:p>
    <w:p w14:paraId="0BE8B193" w14:textId="78F10D1F" w:rsidR="00491850" w:rsidRDefault="00491850" w:rsidP="00491850">
      <w:pPr>
        <w:rPr>
          <w:lang w:eastAsia="ar-SA"/>
        </w:rPr>
      </w:pPr>
    </w:p>
    <w:p w14:paraId="52914B5B" w14:textId="77777777" w:rsidR="00491850" w:rsidRPr="00680E60" w:rsidRDefault="00491850" w:rsidP="00680E60"/>
    <w:p w14:paraId="725B1930" w14:textId="4B4C9415" w:rsidR="00491850" w:rsidRPr="00680E60" w:rsidRDefault="00143C94" w:rsidP="00680E60">
      <w:pPr>
        <w:pStyle w:val="ListParagraph"/>
        <w:numPr>
          <w:ilvl w:val="0"/>
          <w:numId w:val="4"/>
        </w:numPr>
        <w:tabs>
          <w:tab w:val="left" w:pos="0"/>
        </w:tabs>
        <w:rPr>
          <w:rFonts w:ascii="PMingLiU" w:hAnsi="PMingLiU"/>
          <w:b/>
        </w:rPr>
      </w:pPr>
      <w:r w:rsidRPr="000D2283">
        <w:rPr>
          <w:rFonts w:ascii="PMingLiU" w:hAnsi="PMingLiU" w:hint="eastAsia"/>
          <w:b/>
        </w:rPr>
        <w:t>其他</w:t>
      </w:r>
    </w:p>
    <w:p w14:paraId="2F50394B" w14:textId="36A9D678" w:rsidR="00E4340B" w:rsidRPr="00E4340B" w:rsidRDefault="00E4340B" w:rsidP="00680E60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PMingLiU" w:hAnsi="PMingLiU"/>
        </w:rPr>
      </w:pPr>
      <w:r w:rsidRPr="00E4340B">
        <w:rPr>
          <w:rFonts w:ascii="PMingLiU" w:hAnsi="PMingLiU" w:hint="eastAsia"/>
        </w:rPr>
        <w:t>按照國家行政學院制度統一管理，學員完成全部課程學習經考核合格，統一頒發結業證書。</w:t>
      </w:r>
    </w:p>
    <w:p w14:paraId="7C1484BF" w14:textId="08230A34" w:rsidR="00E4340B" w:rsidRDefault="00E4340B" w:rsidP="00680E60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PMingLiU" w:hAnsi="PMingLiU"/>
        </w:rPr>
      </w:pPr>
      <w:r w:rsidRPr="00E4340B">
        <w:rPr>
          <w:rFonts w:ascii="PMingLiU" w:hAnsi="PMingLiU" w:hint="eastAsia"/>
        </w:rPr>
        <w:t>名額有限，報滿即止。有意參加者請於5月</w:t>
      </w:r>
      <w:r w:rsidR="002D580F" w:rsidRPr="00E4340B">
        <w:rPr>
          <w:rFonts w:ascii="PMingLiU" w:hAnsi="PMingLiU" w:hint="eastAsia"/>
        </w:rPr>
        <w:t>1</w:t>
      </w:r>
      <w:r w:rsidR="002D580F">
        <w:rPr>
          <w:rFonts w:ascii="PMingLiU" w:hAnsi="PMingLiU" w:hint="eastAsia"/>
          <w:lang w:eastAsia="zh-TW"/>
        </w:rPr>
        <w:t>5</w:t>
      </w:r>
      <w:r w:rsidRPr="00E4340B">
        <w:rPr>
          <w:rFonts w:ascii="PMingLiU" w:hAnsi="PMingLiU" w:hint="eastAsia"/>
        </w:rPr>
        <w:t>日前報名</w:t>
      </w:r>
      <w:r w:rsidR="002D580F">
        <w:rPr>
          <w:rFonts w:ascii="PMingLiU" w:hAnsi="PMingLiU" w:hint="eastAsia"/>
          <w:lang w:eastAsia="zh-TW"/>
        </w:rPr>
        <w:t>(點擊</w:t>
      </w:r>
      <w:hyperlink r:id="rId10" w:history="1">
        <w:r w:rsidR="002D580F" w:rsidRPr="002D580F">
          <w:rPr>
            <w:rStyle w:val="Hyperlink"/>
            <w:rFonts w:ascii="PMingLiU" w:hAnsi="PMingLiU" w:hint="eastAsia"/>
            <w:lang w:eastAsia="zh-TW"/>
          </w:rPr>
          <w:t>這裡</w:t>
        </w:r>
      </w:hyperlink>
      <w:r w:rsidR="002D580F">
        <w:rPr>
          <w:rFonts w:ascii="PMingLiU" w:hAnsi="PMingLiU" w:hint="eastAsia"/>
          <w:lang w:eastAsia="zh-TW"/>
        </w:rPr>
        <w:t>)</w:t>
      </w:r>
      <w:r w:rsidRPr="00E4340B">
        <w:rPr>
          <w:rFonts w:ascii="PMingLiU" w:hAnsi="PMingLiU" w:hint="eastAsia"/>
        </w:rPr>
        <w:t>，最終參班人員由中央政府駐港聯絡辦法律部決定並通知，優先考慮此前未參加過研修班的法律界人士。為便於安排入住、參訪行程以及其他事項通知，報名時請提供全面、準確的個人基本信息。</w:t>
      </w:r>
    </w:p>
    <w:p w14:paraId="3CC1BB72" w14:textId="1AF31FB8" w:rsidR="00143C94" w:rsidRPr="005772C3" w:rsidRDefault="00E4340B" w:rsidP="00680E60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PMingLiU" w:hAnsi="PMingLiU"/>
        </w:rPr>
      </w:pPr>
      <w:r w:rsidRPr="005772C3">
        <w:rPr>
          <w:rFonts w:ascii="PMingLiU" w:hAnsi="PMingLiU" w:hint="eastAsia"/>
        </w:rPr>
        <w:t>中央政府駐港聯絡辦法律部將於6月底在國家法官學院舉辦國情研修班。歡迎感興趣人士後續關注報名通知</w:t>
      </w:r>
      <w:r w:rsidRPr="005772C3">
        <w:rPr>
          <w:rFonts w:ascii="PMingLiU" w:hAnsi="PMingLiU" w:hint="eastAsia"/>
          <w:lang w:eastAsia="zh-TW"/>
        </w:rPr>
        <w:t>。</w:t>
      </w:r>
    </w:p>
    <w:sectPr w:rsidR="00143C94" w:rsidRPr="005772C3" w:rsidSect="00680E60">
      <w:headerReference w:type="default" r:id="rId11"/>
      <w:headerReference w:type="first" r:id="rId12"/>
      <w:footerReference w:type="first" r:id="rId13"/>
      <w:pgSz w:w="11906" w:h="16838" w:code="9"/>
      <w:pgMar w:top="1418" w:right="746" w:bottom="720" w:left="81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0CFF" w14:textId="77777777" w:rsidR="00F072AA" w:rsidRDefault="009F177A">
      <w:r>
        <w:separator/>
      </w:r>
    </w:p>
  </w:endnote>
  <w:endnote w:type="continuationSeparator" w:id="0">
    <w:p w14:paraId="708EBD90" w14:textId="77777777" w:rsidR="00F072AA" w:rsidRDefault="009F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07AA" w14:textId="77777777" w:rsidR="00770701" w:rsidRDefault="00637147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A266" w14:textId="77777777" w:rsidR="00F072AA" w:rsidRDefault="009F177A">
      <w:r>
        <w:separator/>
      </w:r>
    </w:p>
  </w:footnote>
  <w:footnote w:type="continuationSeparator" w:id="0">
    <w:p w14:paraId="6796B1E9" w14:textId="77777777" w:rsidR="00F072AA" w:rsidRDefault="009F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78D" w14:textId="77777777" w:rsidR="00770701" w:rsidRDefault="00770701">
    <w:pPr>
      <w:pStyle w:val="Header"/>
      <w:jc w:val="center"/>
    </w:pPr>
  </w:p>
  <w:p w14:paraId="097E1158" w14:textId="77777777" w:rsidR="00770701" w:rsidRDefault="00770701">
    <w:pPr>
      <w:pStyle w:val="Header"/>
      <w:jc w:val="center"/>
    </w:pPr>
  </w:p>
  <w:p w14:paraId="446C1DA2" w14:textId="77777777" w:rsidR="00770701" w:rsidRDefault="00770701">
    <w:pPr>
      <w:pStyle w:val="Header"/>
      <w:jc w:val="center"/>
    </w:pPr>
  </w:p>
  <w:p w14:paraId="02B9A054" w14:textId="77777777" w:rsidR="00770701" w:rsidRDefault="007707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C184" w14:textId="77777777" w:rsidR="00770701" w:rsidRDefault="00637147">
    <w:pPr>
      <w:pStyle w:val="Header"/>
      <w:tabs>
        <w:tab w:val="clear" w:pos="4153"/>
        <w:tab w:val="clear" w:pos="8306"/>
      </w:tabs>
      <w:ind w:left="-720" w:right="-720"/>
      <w:jc w:val="center"/>
    </w:pPr>
    <w:r w:rsidRPr="002F39F0">
      <w:rPr>
        <w:noProof/>
        <w:lang w:val="en-US" w:eastAsia="zh-CN"/>
      </w:rPr>
      <w:drawing>
        <wp:inline distT="0" distB="0" distL="0" distR="0" wp14:anchorId="4AE0996A" wp14:editId="65680BAE">
          <wp:extent cx="5734050" cy="952500"/>
          <wp:effectExtent l="0" t="0" r="0" b="0"/>
          <wp:docPr id="662125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FC1B6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7AB75E5F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67AC5B12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2EA56B" w14:textId="77777777" w:rsidR="00770701" w:rsidRDefault="00637147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4A8CD895" w14:textId="77777777" w:rsidR="00770701" w:rsidRDefault="00770701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74C"/>
    <w:multiLevelType w:val="hybridMultilevel"/>
    <w:tmpl w:val="04BA8F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870C6B"/>
    <w:multiLevelType w:val="hybridMultilevel"/>
    <w:tmpl w:val="0AC0BB1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46812"/>
    <w:multiLevelType w:val="hybridMultilevel"/>
    <w:tmpl w:val="8584B5A0"/>
    <w:lvl w:ilvl="0" w:tplc="492A65A4">
      <w:start w:val="1"/>
      <w:numFmt w:val="taiwaneseCountingThousand"/>
      <w:lvlText w:val="%1、"/>
      <w:lvlJc w:val="left"/>
      <w:pPr>
        <w:ind w:left="720" w:hanging="360"/>
      </w:pPr>
      <w:rPr>
        <w:rFonts w:ascii="PMingLiU" w:eastAsia="PMingLiU" w:hAnsi="PMingLiU" w:hint="default"/>
        <w:b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A4C"/>
    <w:multiLevelType w:val="hybridMultilevel"/>
    <w:tmpl w:val="3C3A041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32D"/>
    <w:multiLevelType w:val="hybridMultilevel"/>
    <w:tmpl w:val="C742BE0A"/>
    <w:lvl w:ilvl="0" w:tplc="26889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C09001B">
      <w:start w:val="1"/>
      <w:numFmt w:val="lowerRoman"/>
      <w:lvlText w:val="%2."/>
      <w:lvlJc w:val="righ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B024070"/>
    <w:multiLevelType w:val="hybridMultilevel"/>
    <w:tmpl w:val="B8E6D23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04CA"/>
    <w:multiLevelType w:val="hybridMultilevel"/>
    <w:tmpl w:val="EA0420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306C7"/>
    <w:multiLevelType w:val="hybridMultilevel"/>
    <w:tmpl w:val="05E8F868"/>
    <w:lvl w:ilvl="0" w:tplc="6CD6D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168007">
    <w:abstractNumId w:val="3"/>
  </w:num>
  <w:num w:numId="2" w16cid:durableId="1668903995">
    <w:abstractNumId w:val="7"/>
  </w:num>
  <w:num w:numId="3" w16cid:durableId="1767265660">
    <w:abstractNumId w:val="4"/>
  </w:num>
  <w:num w:numId="4" w16cid:durableId="1021200517">
    <w:abstractNumId w:val="2"/>
  </w:num>
  <w:num w:numId="5" w16cid:durableId="1925532438">
    <w:abstractNumId w:val="6"/>
  </w:num>
  <w:num w:numId="6" w16cid:durableId="1288582182">
    <w:abstractNumId w:val="5"/>
  </w:num>
  <w:num w:numId="7" w16cid:durableId="1921521758">
    <w:abstractNumId w:val="1"/>
  </w:num>
  <w:num w:numId="8" w16cid:durableId="95756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24"/>
    <w:rsid w:val="00087B27"/>
    <w:rsid w:val="00093B64"/>
    <w:rsid w:val="000B04C3"/>
    <w:rsid w:val="001031E7"/>
    <w:rsid w:val="00143C94"/>
    <w:rsid w:val="00145338"/>
    <w:rsid w:val="0017213A"/>
    <w:rsid w:val="001D6FC9"/>
    <w:rsid w:val="00230ECE"/>
    <w:rsid w:val="002D580F"/>
    <w:rsid w:val="002E52A1"/>
    <w:rsid w:val="00393FF4"/>
    <w:rsid w:val="003B4A25"/>
    <w:rsid w:val="003D10B1"/>
    <w:rsid w:val="00423097"/>
    <w:rsid w:val="0045789B"/>
    <w:rsid w:val="00491850"/>
    <w:rsid w:val="0053438C"/>
    <w:rsid w:val="005772C3"/>
    <w:rsid w:val="005807F3"/>
    <w:rsid w:val="005879EA"/>
    <w:rsid w:val="00625BAC"/>
    <w:rsid w:val="00637147"/>
    <w:rsid w:val="00665D1A"/>
    <w:rsid w:val="00680E60"/>
    <w:rsid w:val="00705B7E"/>
    <w:rsid w:val="00755BCD"/>
    <w:rsid w:val="007621A0"/>
    <w:rsid w:val="00770701"/>
    <w:rsid w:val="00782E52"/>
    <w:rsid w:val="007B0443"/>
    <w:rsid w:val="007B4D36"/>
    <w:rsid w:val="00841EF3"/>
    <w:rsid w:val="00847ECE"/>
    <w:rsid w:val="00851B12"/>
    <w:rsid w:val="00855C6E"/>
    <w:rsid w:val="00877FBC"/>
    <w:rsid w:val="00887D00"/>
    <w:rsid w:val="00891EC5"/>
    <w:rsid w:val="00914DEF"/>
    <w:rsid w:val="009616E7"/>
    <w:rsid w:val="009F177A"/>
    <w:rsid w:val="00A44947"/>
    <w:rsid w:val="00B21D39"/>
    <w:rsid w:val="00B24C70"/>
    <w:rsid w:val="00B743F7"/>
    <w:rsid w:val="00B90E99"/>
    <w:rsid w:val="00C507EF"/>
    <w:rsid w:val="00C850CB"/>
    <w:rsid w:val="00E11024"/>
    <w:rsid w:val="00E16168"/>
    <w:rsid w:val="00E240D0"/>
    <w:rsid w:val="00E4340B"/>
    <w:rsid w:val="00E61CEE"/>
    <w:rsid w:val="00E93F87"/>
    <w:rsid w:val="00EA0A6D"/>
    <w:rsid w:val="00EA7EA3"/>
    <w:rsid w:val="00EC5A30"/>
    <w:rsid w:val="00F072AA"/>
    <w:rsid w:val="00F9107F"/>
    <w:rsid w:val="00F9590F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19D2BE"/>
  <w15:chartTrackingRefBased/>
  <w15:docId w15:val="{72D545DF-EB79-4064-81FA-1A5C0B4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24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10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1024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character" w:styleId="Hyperlink">
    <w:name w:val="Hyperlink"/>
    <w:rsid w:val="00E11024"/>
    <w:rPr>
      <w:color w:val="0000FF"/>
      <w:u w:val="single"/>
    </w:rPr>
  </w:style>
  <w:style w:type="paragraph" w:styleId="ListParagraph">
    <w:name w:val="List Paragraph"/>
    <w:aliases w:val="Issue Action POC,3,POCG Table Text,Dot pt,F5 List Paragraph,List Paragraph Char Char Char,Indicator Text,Colorful List - Accent 11,Numbered Para 1,Bullet 1,Bullet Points,List Paragraph2,MAIN CONTENT,Normal numbered,Recommendation"/>
    <w:basedOn w:val="Normal"/>
    <w:link w:val="ListParagraphChar"/>
    <w:uiPriority w:val="34"/>
    <w:qFormat/>
    <w:rsid w:val="00E11024"/>
    <w:pPr>
      <w:widowControl/>
      <w:suppressAutoHyphens/>
      <w:ind w:left="480"/>
    </w:pPr>
    <w:rPr>
      <w:kern w:val="0"/>
      <w:szCs w:val="24"/>
      <w:lang w:eastAsia="ar-SA"/>
    </w:rPr>
  </w:style>
  <w:style w:type="character" w:customStyle="1" w:styleId="ListParagraphChar">
    <w:name w:val="List Paragraph Char"/>
    <w:aliases w:val="Issue Action POC Char,3 Char,POCG Table Text Char,Dot pt Char,F5 List Paragraph Char,List Paragraph Char Char Char Char,Indicator Text Char,Colorful List - Accent 11 Char,Numbered Para 1 Char,Bullet 1 Char,Bullet Points Char"/>
    <w:link w:val="ListParagraph"/>
    <w:uiPriority w:val="34"/>
    <w:locked/>
    <w:rsid w:val="00E11024"/>
    <w:rPr>
      <w:rFonts w:ascii="Times New Roman" w:eastAsia="PMingLiU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07F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1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6E7"/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Revision">
    <w:name w:val="Revision"/>
    <w:hidden/>
    <w:uiPriority w:val="99"/>
    <w:semiHidden/>
    <w:rsid w:val="00770701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093B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C5"/>
    <w:rPr>
      <w:rFonts w:ascii="Segoe UI" w:eastAsia="PMingLiU" w:hAnsi="Segoe UI" w:cs="Segoe UI"/>
      <w:kern w:val="2"/>
      <w:sz w:val="18"/>
      <w:szCs w:val="18"/>
      <w:lang w:val="en-GB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577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2C3"/>
    <w:rPr>
      <w:rFonts w:ascii="Times New Roman" w:eastAsia="PMingLiU" w:hAnsi="Times New Roman" w:cs="Times New Roman"/>
      <w:kern w:val="2"/>
      <w:sz w:val="20"/>
      <w:szCs w:val="20"/>
      <w:lang w:val="en-GB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2C3"/>
    <w:rPr>
      <w:rFonts w:ascii="Times New Roman" w:eastAsia="PMingLiU" w:hAnsi="Times New Roman" w:cs="Times New Roman"/>
      <w:b/>
      <w:bCs/>
      <w:kern w:val="2"/>
      <w:sz w:val="20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jx.top/vm/wFU7wfP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Cathy LEUNG</cp:lastModifiedBy>
  <cp:revision>3</cp:revision>
  <dcterms:created xsi:type="dcterms:W3CDTF">2025-04-24T01:33:00Z</dcterms:created>
  <dcterms:modified xsi:type="dcterms:W3CDTF">2025-04-24T04:11:00Z</dcterms:modified>
</cp:coreProperties>
</file>