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151D23A-5DC7-4900-84FD-035EDD8A7249}"/>
</file>

<file path=customXml/itemProps2.xml><?xml version="1.0" encoding="utf-8"?>
<ds:datastoreItem xmlns:ds="http://schemas.openxmlformats.org/officeDocument/2006/customXml" ds:itemID="{87BD1644-E65B-4FC1-988C-87942D18044B}"/>
</file>

<file path=customXml/itemProps3.xml><?xml version="1.0" encoding="utf-8"?>
<ds:datastoreItem xmlns:ds="http://schemas.openxmlformats.org/officeDocument/2006/customXml" ds:itemID="{FD2805B7-8878-409B-89F0-3ADAF6162DEE}"/>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